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DA5F2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5E3616">
              <w:rPr>
                <w:noProof/>
              </w:rPr>
              <w:t>2</w:t>
            </w:r>
            <w:r w:rsidR="00DA5F2C">
              <w:rPr>
                <w:noProof/>
              </w:rPr>
              <w:t>5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DA5F2C" w:rsidRDefault="00F54F00" w:rsidP="00DA5F2C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A5F2C" w:rsidRPr="00DA5F2C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17 ноября 2015 года № 40/63 «Об установлении ОБЩЕСТВУ С ОГРАНИЧЕННОЙ ОТВЕТСТВЕННОСТЬЮ «ЕЛЕНА», </w:t>
            </w:r>
          </w:p>
          <w:p w:rsidR="0085764D" w:rsidRPr="00252D0D" w:rsidRDefault="00DA5F2C" w:rsidP="00DA5F2C">
            <w:pPr>
              <w:jc w:val="center"/>
            </w:pPr>
            <w:r w:rsidRPr="00DA5F2C">
              <w:rPr>
                <w:noProof/>
              </w:rPr>
              <w:t>р.п. Шаранга Нижегородской области, тарифов в сфере холодного водоснабжения для потребителей Шарангского муниципального района Нижегородской области»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76B06" w:rsidRDefault="00476B06" w:rsidP="0008587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5F2C" w:rsidRPr="00DA5F2C" w:rsidRDefault="00DA5F2C" w:rsidP="00DA5F2C">
      <w:pPr>
        <w:pStyle w:val="ac"/>
        <w:spacing w:line="276" w:lineRule="auto"/>
        <w:ind w:firstLine="720"/>
      </w:pPr>
      <w:r w:rsidRPr="00DA5F2C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DA5F2C">
        <w:rPr>
          <w:color w:val="000000"/>
        </w:rPr>
        <w:t>ОБЩЕСТВОМ С ОГРАНИЧЕННОЙ ОТВЕТСТВЕННОСТЬЮ «ЕЛЕНА</w:t>
      </w:r>
      <w:r w:rsidRPr="00DA5F2C">
        <w:rPr>
          <w:lang w:eastAsia="en-US"/>
        </w:rPr>
        <w:t>», р.п. Шаранга Нижегородской области</w:t>
      </w:r>
      <w:r w:rsidRPr="00DA5F2C">
        <w:t>, экспертного заключения рег. № в-269 от 8 ноября 2016 года:</w:t>
      </w:r>
    </w:p>
    <w:p w:rsidR="00DA5F2C" w:rsidRPr="00DA5F2C" w:rsidRDefault="00DA5F2C" w:rsidP="00DA5F2C">
      <w:pPr>
        <w:pStyle w:val="ac"/>
        <w:spacing w:line="276" w:lineRule="auto"/>
        <w:ind w:firstLine="720"/>
      </w:pPr>
      <w:r w:rsidRPr="00DA5F2C">
        <w:rPr>
          <w:b/>
          <w:bCs/>
        </w:rPr>
        <w:t>1.</w:t>
      </w:r>
      <w:r w:rsidRPr="00DA5F2C">
        <w:t xml:space="preserve"> Внести в решение региональной службы по тарифам Нижегородской области  от 17 ноября 2015 года № 40/63 «Об установлении </w:t>
      </w:r>
      <w:r w:rsidRPr="00DA5F2C">
        <w:rPr>
          <w:color w:val="000000"/>
        </w:rPr>
        <w:t>ОБЩЕСТВУ С ОГРАНИЧЕННОЙ ОТВЕТСТВЕННОСТЬЮ «ЕЛЕНА</w:t>
      </w:r>
      <w:r w:rsidRPr="00DA5F2C">
        <w:rPr>
          <w:lang w:eastAsia="en-US"/>
        </w:rPr>
        <w:t>», р.п. Шаранга Нижегородской области</w:t>
      </w:r>
      <w:r w:rsidRPr="00DA5F2C">
        <w:t xml:space="preserve">, тарифов в сфере холодного водоснабжения для потребителей </w:t>
      </w:r>
      <w:r w:rsidRPr="00DA5F2C">
        <w:rPr>
          <w:noProof/>
        </w:rPr>
        <w:t>Шарангского муниципального района Нижегородской области»</w:t>
      </w:r>
      <w:r w:rsidRPr="00DA5F2C">
        <w:t xml:space="preserve"> следующие изменения:</w:t>
      </w:r>
    </w:p>
    <w:p w:rsidR="00DA5F2C" w:rsidRPr="00DA5F2C" w:rsidRDefault="00DA5F2C" w:rsidP="00DA5F2C">
      <w:pPr>
        <w:pStyle w:val="ac"/>
        <w:spacing w:line="276" w:lineRule="auto"/>
      </w:pPr>
      <w:r w:rsidRPr="00DA5F2C">
        <w:rPr>
          <w:b/>
          <w:bCs/>
          <w:i/>
          <w:iCs/>
        </w:rPr>
        <w:t>1.1.</w:t>
      </w:r>
      <w:r w:rsidRPr="00DA5F2C">
        <w:t xml:space="preserve"> Таблицу пункта 2 решения изложить в следующей редакции:</w:t>
      </w:r>
    </w:p>
    <w:p w:rsidR="00DA5F2C" w:rsidRPr="00DA5F2C" w:rsidRDefault="00DA5F2C" w:rsidP="00DA5F2C">
      <w:pPr>
        <w:pStyle w:val="ac"/>
        <w:spacing w:line="276" w:lineRule="auto"/>
      </w:pPr>
      <w:r w:rsidRPr="00DA5F2C">
        <w:t>«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2649"/>
        <w:gridCol w:w="1151"/>
        <w:gridCol w:w="1146"/>
        <w:gridCol w:w="1144"/>
        <w:gridCol w:w="1144"/>
        <w:gridCol w:w="1142"/>
        <w:gridCol w:w="1144"/>
      </w:tblGrid>
      <w:tr w:rsidR="00DA5F2C" w:rsidRPr="00C13D81">
        <w:trPr>
          <w:trHeight w:val="281"/>
        </w:trPr>
        <w:tc>
          <w:tcPr>
            <w:tcW w:w="255" w:type="pct"/>
            <w:vMerge w:val="restart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№ п/п</w:t>
            </w:r>
          </w:p>
        </w:tc>
        <w:tc>
          <w:tcPr>
            <w:tcW w:w="1321" w:type="pct"/>
            <w:vMerge w:val="restart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Тарифы в сфере холодного водоснабжения </w:t>
            </w:r>
          </w:p>
        </w:tc>
        <w:tc>
          <w:tcPr>
            <w:tcW w:w="3424" w:type="pct"/>
            <w:gridSpan w:val="6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Периоды регулирования</w:t>
            </w:r>
          </w:p>
        </w:tc>
      </w:tr>
      <w:tr w:rsidR="00DA5F2C" w:rsidRPr="00C13D81">
        <w:trPr>
          <w:cantSplit/>
          <w:trHeight w:val="138"/>
        </w:trPr>
        <w:tc>
          <w:tcPr>
            <w:tcW w:w="255" w:type="pct"/>
            <w:vMerge/>
          </w:tcPr>
          <w:p w:rsidR="00DA5F2C" w:rsidRPr="00C13D81" w:rsidRDefault="00DA5F2C" w:rsidP="000D1A2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1" w:type="pct"/>
            <w:vMerge/>
          </w:tcPr>
          <w:p w:rsidR="00DA5F2C" w:rsidRPr="00C13D81" w:rsidRDefault="00DA5F2C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5" w:type="pct"/>
            <w:gridSpan w:val="2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2016 год</w:t>
            </w:r>
          </w:p>
        </w:tc>
        <w:tc>
          <w:tcPr>
            <w:tcW w:w="1140" w:type="pct"/>
            <w:gridSpan w:val="2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2017 год</w:t>
            </w:r>
          </w:p>
        </w:tc>
        <w:tc>
          <w:tcPr>
            <w:tcW w:w="1139" w:type="pct"/>
            <w:gridSpan w:val="2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2018 год</w:t>
            </w:r>
          </w:p>
        </w:tc>
      </w:tr>
      <w:tr w:rsidR="00DA5F2C" w:rsidRPr="00C13D81">
        <w:trPr>
          <w:cantSplit/>
          <w:trHeight w:val="357"/>
        </w:trPr>
        <w:tc>
          <w:tcPr>
            <w:tcW w:w="255" w:type="pct"/>
            <w:vMerge/>
          </w:tcPr>
          <w:p w:rsidR="00DA5F2C" w:rsidRPr="00C13D81" w:rsidRDefault="00DA5F2C" w:rsidP="000D1A2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1" w:type="pct"/>
            <w:vMerge/>
          </w:tcPr>
          <w:p w:rsidR="00DA5F2C" w:rsidRPr="00C13D81" w:rsidRDefault="00DA5F2C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1" w:type="pct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70" w:type="pct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0" w:type="pct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69" w:type="pct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0" w:type="pct"/>
          </w:tcPr>
          <w:p w:rsidR="00DA5F2C" w:rsidRPr="00C13D81" w:rsidRDefault="00DA5F2C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DA5F2C" w:rsidRPr="00C13D81">
        <w:trPr>
          <w:trHeight w:val="133"/>
        </w:trPr>
        <w:tc>
          <w:tcPr>
            <w:tcW w:w="255" w:type="pct"/>
          </w:tcPr>
          <w:p w:rsidR="00DA5F2C" w:rsidRPr="00C13D81" w:rsidRDefault="00DA5F2C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21" w:type="pct"/>
          </w:tcPr>
          <w:p w:rsidR="00DA5F2C" w:rsidRPr="00C13D81" w:rsidRDefault="00DA5F2C" w:rsidP="000D1A28">
            <w:pPr>
              <w:jc w:val="center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C13D81">
              <w:rPr>
                <w:sz w:val="24"/>
                <w:szCs w:val="24"/>
              </w:rPr>
              <w:t>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4" w:type="pct"/>
            <w:vAlign w:val="bottom"/>
          </w:tcPr>
          <w:p w:rsidR="00DA5F2C" w:rsidRPr="00C13D81" w:rsidRDefault="00DA5F2C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43,99</w:t>
            </w:r>
          </w:p>
        </w:tc>
        <w:tc>
          <w:tcPr>
            <w:tcW w:w="571" w:type="pct"/>
            <w:vAlign w:val="bottom"/>
          </w:tcPr>
          <w:p w:rsidR="00DA5F2C" w:rsidRPr="00C13D81" w:rsidRDefault="00DA5F2C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570" w:type="pct"/>
            <w:vAlign w:val="bottom"/>
          </w:tcPr>
          <w:p w:rsidR="00DA5F2C" w:rsidRPr="00C13D81" w:rsidRDefault="00DA5F2C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570" w:type="pct"/>
            <w:vAlign w:val="bottom"/>
          </w:tcPr>
          <w:p w:rsidR="00DA5F2C" w:rsidRPr="00C13D81" w:rsidRDefault="00DA5F2C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47,92</w:t>
            </w:r>
          </w:p>
        </w:tc>
        <w:tc>
          <w:tcPr>
            <w:tcW w:w="569" w:type="pct"/>
            <w:vAlign w:val="bottom"/>
          </w:tcPr>
          <w:p w:rsidR="00DA5F2C" w:rsidRPr="00C13D81" w:rsidRDefault="00DA5F2C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47,92</w:t>
            </w:r>
          </w:p>
        </w:tc>
        <w:tc>
          <w:tcPr>
            <w:tcW w:w="570" w:type="pct"/>
            <w:vAlign w:val="bottom"/>
          </w:tcPr>
          <w:p w:rsidR="00DA5F2C" w:rsidRPr="00C13D81" w:rsidRDefault="00DA5F2C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49,85</w:t>
            </w:r>
          </w:p>
        </w:tc>
      </w:tr>
      <w:tr w:rsidR="00DA5F2C" w:rsidRPr="00C13D81">
        <w:trPr>
          <w:trHeight w:val="133"/>
        </w:trPr>
        <w:tc>
          <w:tcPr>
            <w:tcW w:w="255" w:type="pct"/>
            <w:vMerge w:val="restart"/>
          </w:tcPr>
          <w:p w:rsidR="00DA5F2C" w:rsidRPr="00C13D81" w:rsidRDefault="00DA5F2C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21" w:type="pct"/>
            <w:tcBorders>
              <w:bottom w:val="nil"/>
            </w:tcBorders>
          </w:tcPr>
          <w:p w:rsidR="00DA5F2C" w:rsidRPr="00C13D81" w:rsidRDefault="00DA5F2C" w:rsidP="000D1A28">
            <w:pPr>
              <w:jc w:val="center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C13D81">
              <w:rPr>
                <w:sz w:val="24"/>
                <w:szCs w:val="24"/>
              </w:rPr>
              <w:t>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4" w:type="pct"/>
            <w:vMerge w:val="restart"/>
            <w:vAlign w:val="bottom"/>
          </w:tcPr>
          <w:p w:rsidR="00DA5F2C" w:rsidRPr="00C13D81" w:rsidRDefault="00DA5F2C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43,99</w:t>
            </w:r>
          </w:p>
        </w:tc>
        <w:tc>
          <w:tcPr>
            <w:tcW w:w="571" w:type="pct"/>
            <w:vMerge w:val="restart"/>
            <w:vAlign w:val="bottom"/>
          </w:tcPr>
          <w:p w:rsidR="00DA5F2C" w:rsidRPr="00C13D81" w:rsidRDefault="00DA5F2C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570" w:type="pct"/>
            <w:vMerge w:val="restart"/>
            <w:vAlign w:val="bottom"/>
          </w:tcPr>
          <w:p w:rsidR="00DA5F2C" w:rsidRPr="00C13D81" w:rsidRDefault="00DA5F2C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570" w:type="pct"/>
            <w:vMerge w:val="restart"/>
            <w:vAlign w:val="bottom"/>
          </w:tcPr>
          <w:p w:rsidR="00DA5F2C" w:rsidRPr="00C13D81" w:rsidRDefault="00DA5F2C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47,92</w:t>
            </w:r>
          </w:p>
        </w:tc>
        <w:tc>
          <w:tcPr>
            <w:tcW w:w="569" w:type="pct"/>
            <w:vMerge w:val="restart"/>
            <w:vAlign w:val="bottom"/>
          </w:tcPr>
          <w:p w:rsidR="00DA5F2C" w:rsidRPr="00C13D81" w:rsidRDefault="00DA5F2C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47,92</w:t>
            </w:r>
          </w:p>
        </w:tc>
        <w:tc>
          <w:tcPr>
            <w:tcW w:w="570" w:type="pct"/>
            <w:vMerge w:val="restart"/>
            <w:vAlign w:val="bottom"/>
          </w:tcPr>
          <w:p w:rsidR="00DA5F2C" w:rsidRPr="00C13D81" w:rsidRDefault="00DA5F2C" w:rsidP="000D1A28">
            <w:pPr>
              <w:pStyle w:val="ac"/>
              <w:jc w:val="center"/>
              <w:rPr>
                <w:sz w:val="24"/>
                <w:szCs w:val="24"/>
                <w:highlight w:val="yellow"/>
              </w:rPr>
            </w:pPr>
            <w:r w:rsidRPr="00C13D81">
              <w:rPr>
                <w:color w:val="000000"/>
                <w:sz w:val="24"/>
                <w:szCs w:val="24"/>
              </w:rPr>
              <w:t>49,85</w:t>
            </w:r>
          </w:p>
        </w:tc>
      </w:tr>
      <w:tr w:rsidR="00DA5F2C" w:rsidRPr="00C13D81">
        <w:trPr>
          <w:trHeight w:val="132"/>
        </w:trPr>
        <w:tc>
          <w:tcPr>
            <w:tcW w:w="255" w:type="pct"/>
            <w:vMerge/>
          </w:tcPr>
          <w:p w:rsidR="00DA5F2C" w:rsidRPr="00C13D81" w:rsidRDefault="00DA5F2C" w:rsidP="000D1A28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pct"/>
            <w:tcBorders>
              <w:top w:val="nil"/>
            </w:tcBorders>
          </w:tcPr>
          <w:p w:rsidR="00DA5F2C" w:rsidRPr="00C13D81" w:rsidRDefault="00DA5F2C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74" w:type="pct"/>
            <w:vMerge/>
          </w:tcPr>
          <w:p w:rsidR="00DA5F2C" w:rsidRPr="00C13D81" w:rsidRDefault="00DA5F2C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DA5F2C" w:rsidRPr="00C13D81" w:rsidRDefault="00DA5F2C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:rsidR="00DA5F2C" w:rsidRPr="00C13D81" w:rsidRDefault="00DA5F2C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:rsidR="00DA5F2C" w:rsidRPr="00C13D81" w:rsidRDefault="00DA5F2C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pct"/>
            <w:vMerge/>
          </w:tcPr>
          <w:p w:rsidR="00DA5F2C" w:rsidRPr="00C13D81" w:rsidRDefault="00DA5F2C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:rsidR="00DA5F2C" w:rsidRPr="00C13D81" w:rsidRDefault="00DA5F2C" w:rsidP="000D1A28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DA5F2C" w:rsidRPr="00DA5F2C" w:rsidRDefault="00DA5F2C" w:rsidP="00DA5F2C">
      <w:pPr>
        <w:pStyle w:val="ac"/>
        <w:jc w:val="right"/>
      </w:pPr>
      <w:r w:rsidRPr="00DA5F2C">
        <w:t>».</w:t>
      </w:r>
    </w:p>
    <w:p w:rsidR="00DA5F2C" w:rsidRPr="00DA5F2C" w:rsidRDefault="00DA5F2C" w:rsidP="00DA5F2C">
      <w:pPr>
        <w:pStyle w:val="ac"/>
      </w:pPr>
      <w:r w:rsidRPr="00DA5F2C">
        <w:rPr>
          <w:b/>
          <w:bCs/>
          <w:i/>
          <w:iCs/>
        </w:rPr>
        <w:lastRenderedPageBreak/>
        <w:t>1.2.</w:t>
      </w:r>
      <w:r w:rsidRPr="00DA5F2C">
        <w:t xml:space="preserve"> Приложение к решению изложить в новой редакции согласно Приложению к настоящему решению.</w:t>
      </w:r>
    </w:p>
    <w:p w:rsidR="00DA5F2C" w:rsidRPr="00DA5F2C" w:rsidRDefault="00DA5F2C" w:rsidP="00DA5F2C">
      <w:pPr>
        <w:pStyle w:val="ac"/>
        <w:ind w:firstLine="708"/>
      </w:pPr>
      <w:r w:rsidRPr="00DA5F2C">
        <w:rPr>
          <w:b/>
          <w:bCs/>
        </w:rPr>
        <w:t>2.</w:t>
      </w:r>
      <w:r w:rsidRPr="00DA5F2C">
        <w:t xml:space="preserve"> Настоящее решение вступает в силу с 1 января 2017 года.</w:t>
      </w:r>
    </w:p>
    <w:p w:rsidR="00F86C30" w:rsidRPr="00122E24" w:rsidRDefault="00F86C30" w:rsidP="00122E2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DA5F2C" w:rsidRDefault="00DA5F2C" w:rsidP="00F86C30">
      <w:pPr>
        <w:tabs>
          <w:tab w:val="left" w:pos="1897"/>
        </w:tabs>
        <w:spacing w:line="276" w:lineRule="auto"/>
      </w:pPr>
    </w:p>
    <w:p w:rsidR="00DA5F2C" w:rsidRDefault="00DA5F2C" w:rsidP="00F86C30">
      <w:pPr>
        <w:tabs>
          <w:tab w:val="left" w:pos="1897"/>
        </w:tabs>
        <w:spacing w:line="276" w:lineRule="auto"/>
      </w:pPr>
    </w:p>
    <w:p w:rsidR="00DA5F2C" w:rsidRDefault="00DA5F2C" w:rsidP="00F86C30">
      <w:pPr>
        <w:tabs>
          <w:tab w:val="left" w:pos="1897"/>
        </w:tabs>
        <w:spacing w:line="276" w:lineRule="auto"/>
      </w:pPr>
    </w:p>
    <w:p w:rsidR="00DA5F2C" w:rsidRDefault="00DA5F2C" w:rsidP="00F86C30">
      <w:pPr>
        <w:tabs>
          <w:tab w:val="left" w:pos="1897"/>
        </w:tabs>
        <w:spacing w:line="276" w:lineRule="auto"/>
      </w:pPr>
    </w:p>
    <w:p w:rsidR="00476B06" w:rsidRDefault="00476B06" w:rsidP="00476B06">
      <w:pPr>
        <w:tabs>
          <w:tab w:val="left" w:pos="1897"/>
        </w:tabs>
        <w:ind w:left="6480"/>
      </w:pPr>
      <w:r>
        <w:lastRenderedPageBreak/>
        <w:t xml:space="preserve">ПРИЛОЖЕНИЕ 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476B06" w:rsidRDefault="00476B06" w:rsidP="00476B06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</w:t>
      </w:r>
      <w:r w:rsidR="00DA5F2C">
        <w:t>5</w:t>
      </w:r>
      <w:r>
        <w:t xml:space="preserve">  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165C3D" w:rsidRPr="00B542CC" w:rsidRDefault="00165C3D" w:rsidP="00165C3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165C3D" w:rsidRPr="00B542CC" w:rsidRDefault="00165C3D" w:rsidP="00165C3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>ХОЛОДНОГО ВОДОСНАБЖЕНИЯ</w:t>
      </w:r>
    </w:p>
    <w:p w:rsidR="00165C3D" w:rsidRPr="00B542CC" w:rsidRDefault="00165C3D" w:rsidP="00165C3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165C3D" w:rsidRPr="00B02182" w:rsidRDefault="00165C3D" w:rsidP="00165C3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>
        <w:rPr>
          <w:sz w:val="24"/>
          <w:szCs w:val="24"/>
        </w:rPr>
        <w:t xml:space="preserve">01.01.2016 г. </w:t>
      </w:r>
      <w:r w:rsidRPr="00B542CC">
        <w:rPr>
          <w:sz w:val="24"/>
          <w:szCs w:val="24"/>
        </w:rPr>
        <w:t xml:space="preserve">по </w:t>
      </w:r>
      <w:r>
        <w:rPr>
          <w:sz w:val="24"/>
          <w:szCs w:val="24"/>
        </w:rPr>
        <w:t>31.12.2018 г.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992"/>
        <w:gridCol w:w="668"/>
        <w:gridCol w:w="41"/>
        <w:gridCol w:w="425"/>
        <w:gridCol w:w="614"/>
        <w:gridCol w:w="581"/>
        <w:gridCol w:w="175"/>
        <w:gridCol w:w="331"/>
        <w:gridCol w:w="661"/>
        <w:gridCol w:w="189"/>
        <w:gridCol w:w="189"/>
        <w:gridCol w:w="1371"/>
      </w:tblGrid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DA5F2C">
              <w:rPr>
                <w:b/>
                <w:bCs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DA5F2C" w:rsidRPr="00DA5F2C">
        <w:trPr>
          <w:trHeight w:val="90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Наименование регулируемой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организации (ИНН)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Общество с ограниченной ответственностью "Елена"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ИНН 5237003325</w:t>
            </w:r>
          </w:p>
        </w:tc>
      </w:tr>
      <w:tr w:rsidR="00DA5F2C" w:rsidRPr="00DA5F2C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Местонахождение         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606840 Нижегородская область , р.п. Шаранга, ул. Мягчилова д.4</w:t>
            </w:r>
          </w:p>
        </w:tc>
      </w:tr>
      <w:tr w:rsidR="00DA5F2C" w:rsidRPr="00DA5F2C">
        <w:trPr>
          <w:trHeight w:val="72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Наименование            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DA5F2C" w:rsidRPr="00DA5F2C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Местонахождение         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603082, Нижний Новгород, Кремль, корпус 1       </w:t>
            </w: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DA5F2C">
              <w:rPr>
                <w:b/>
                <w:bCs/>
                <w:sz w:val="20"/>
                <w:szCs w:val="20"/>
              </w:rPr>
              <w:t>2. Объем подачи воды</w:t>
            </w:r>
          </w:p>
        </w:tc>
      </w:tr>
      <w:tr w:rsidR="00DA5F2C" w:rsidRPr="00DA5F2C">
        <w:trPr>
          <w:trHeight w:val="26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2016 год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2017 год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2018 год</w:t>
            </w:r>
          </w:p>
        </w:tc>
      </w:tr>
      <w:tr w:rsidR="00DA5F2C" w:rsidRPr="00DA5F2C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Подано воды всего, тыс.м</w:t>
            </w:r>
            <w:r w:rsidRPr="00DA5F2C">
              <w:rPr>
                <w:sz w:val="20"/>
                <w:szCs w:val="20"/>
                <w:vertAlign w:val="superscript"/>
              </w:rPr>
              <w:t>3</w:t>
            </w:r>
            <w:r w:rsidRPr="00DA5F2C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175,440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175,440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175,440</w:t>
            </w:r>
          </w:p>
        </w:tc>
      </w:tr>
      <w:tr w:rsidR="00DA5F2C" w:rsidRPr="00DA5F2C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>- населению,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148,27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148,27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148,27</w:t>
            </w:r>
          </w:p>
        </w:tc>
      </w:tr>
      <w:tr w:rsidR="00DA5F2C" w:rsidRPr="00DA5F2C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17,460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17,460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17,460</w:t>
            </w:r>
          </w:p>
        </w:tc>
      </w:tr>
      <w:tr w:rsidR="00DA5F2C" w:rsidRPr="00DA5F2C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>- прочим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9,72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9,72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9,72</w:t>
            </w:r>
          </w:p>
        </w:tc>
      </w:tr>
      <w:tr w:rsidR="00DA5F2C" w:rsidRPr="00DA5F2C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29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DA5F2C">
              <w:rPr>
                <w:b/>
                <w:bCs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A5F2C" w:rsidRPr="00DA5F2C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DA5F2C" w:rsidRPr="00DA5F2C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Другие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2016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4224,875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4224,875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2091,518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2091,518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570,401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570,401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112,899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112,899</w:t>
            </w: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6999,693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6999,693</w:t>
            </w: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2017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4320,852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4320,852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2184,486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2184,486</w:t>
            </w:r>
          </w:p>
        </w:tc>
      </w:tr>
      <w:tr w:rsidR="00DA5F2C" w:rsidRPr="00DA5F2C">
        <w:trPr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681,109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681,109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Расходы, связанные с оплатой </w:t>
            </w:r>
            <w:r w:rsidRPr="00DA5F2C">
              <w:rPr>
                <w:sz w:val="20"/>
                <w:szCs w:val="20"/>
              </w:rPr>
              <w:lastRenderedPageBreak/>
              <w:t>налогов и сборов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116,873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116,873</w:t>
            </w: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lastRenderedPageBreak/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7303,32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7303,32</w:t>
            </w:r>
          </w:p>
        </w:tc>
      </w:tr>
      <w:tr w:rsidR="00DA5F2C" w:rsidRPr="00DA5F2C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2018 год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4504,886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4504,886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2266,448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2266,448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DA5F2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DA5F2C">
              <w:rPr>
                <w:color w:val="000000"/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681,109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681,109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124,693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124,693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7577,136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7577,136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21880,149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21880,149</w:t>
            </w: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DA5F2C">
              <w:rPr>
                <w:b/>
                <w:bCs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DA5F2C" w:rsidRPr="00DA5F2C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</w:t>
            </w:r>
            <w:r w:rsidRPr="00DA5F2C">
              <w:rPr>
                <w:i/>
                <w:iCs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DA5F2C" w:rsidRPr="00DA5F2C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DA5F2C" w:rsidRPr="00DA5F2C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Другие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2016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921,849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921,849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921,849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921,849</w:t>
            </w: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2017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962,826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962,826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962,826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962,826</w:t>
            </w:r>
          </w:p>
        </w:tc>
      </w:tr>
      <w:tr w:rsidR="00DA5F2C" w:rsidRPr="00DA5F2C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2018 год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998,951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998,951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998,951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998,951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2 883,626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2 883,626</w:t>
            </w:r>
          </w:p>
        </w:tc>
      </w:tr>
      <w:tr w:rsidR="00DA5F2C" w:rsidRPr="00DA5F2C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 xml:space="preserve">             питьевой воды </w:t>
            </w:r>
          </w:p>
        </w:tc>
      </w:tr>
      <w:tr w:rsidR="00DA5F2C" w:rsidRPr="00DA5F2C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DA5F2C" w:rsidRPr="00DA5F2C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Другие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2016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2017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2018 год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</w:t>
            </w:r>
            <w:r w:rsidRPr="00DA5F2C">
              <w:rPr>
                <w:i/>
                <w:iCs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 w:rsidRPr="00DA5F2C">
              <w:rPr>
                <w:sz w:val="20"/>
                <w:szCs w:val="20"/>
              </w:rPr>
              <w:t xml:space="preserve">   </w:t>
            </w:r>
          </w:p>
        </w:tc>
      </w:tr>
      <w:tr w:rsidR="00DA5F2C" w:rsidRPr="00DA5F2C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DA5F2C" w:rsidRPr="00DA5F2C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Другие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lastRenderedPageBreak/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lastRenderedPageBreak/>
              <w:t>На 2016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2017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2018 год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DA5F2C">
              <w:rPr>
                <w:i/>
                <w:iCs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DA5F2C" w:rsidRPr="00DA5F2C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DA5F2C" w:rsidRPr="00DA5F2C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Другие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2016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2017 год</w:t>
            </w: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2018 год</w:t>
            </w: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    </w:t>
            </w:r>
            <w:r w:rsidRPr="00DA5F2C">
              <w:rPr>
                <w:b/>
                <w:bCs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DA5F2C" w:rsidRPr="00DA5F2C">
        <w:trPr>
          <w:trHeight w:val="21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Ед.изм.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2016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2017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2018</w:t>
            </w:r>
          </w:p>
        </w:tc>
      </w:tr>
      <w:tr w:rsidR="00DA5F2C" w:rsidRPr="00DA5F2C">
        <w:trPr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Показатели качества воды</w:t>
            </w:r>
          </w:p>
        </w:tc>
      </w:tr>
      <w:tr w:rsidR="00DA5F2C" w:rsidRPr="00DA5F2C">
        <w:trPr>
          <w:trHeight w:val="1398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5,6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5,6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5,6</w:t>
            </w:r>
          </w:p>
        </w:tc>
      </w:tr>
      <w:tr w:rsidR="00DA5F2C" w:rsidRPr="00DA5F2C">
        <w:trPr>
          <w:trHeight w:val="103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3,9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3,9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3,9</w:t>
            </w:r>
          </w:p>
        </w:tc>
      </w:tr>
      <w:tr w:rsidR="00DA5F2C" w:rsidRPr="00DA5F2C">
        <w:trPr>
          <w:trHeight w:val="27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DA5F2C" w:rsidRPr="00DA5F2C">
        <w:trPr>
          <w:trHeight w:val="84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</w:t>
            </w:r>
            <w:r w:rsidRPr="00DA5F2C">
              <w:rPr>
                <w:sz w:val="20"/>
                <w:szCs w:val="20"/>
              </w:rPr>
              <w:lastRenderedPageBreak/>
              <w:t xml:space="preserve">расчете на протяженность водопроводной сети в год 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ед./км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lastRenderedPageBreak/>
              <w:t>Показатели энергетической эффективности</w:t>
            </w:r>
          </w:p>
        </w:tc>
      </w:tr>
      <w:tr w:rsidR="00DA5F2C" w:rsidRPr="00DA5F2C">
        <w:trPr>
          <w:trHeight w:val="212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70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кВт*ч/куб. м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1,24</w:t>
            </w:r>
          </w:p>
        </w:tc>
        <w:tc>
          <w:tcPr>
            <w:tcW w:w="137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1,24</w:t>
            </w:r>
          </w:p>
        </w:tc>
        <w:tc>
          <w:tcPr>
            <w:tcW w:w="1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1,24</w:t>
            </w:r>
          </w:p>
        </w:tc>
      </w:tr>
      <w:tr w:rsidR="00DA5F2C" w:rsidRPr="00DA5F2C">
        <w:trPr>
          <w:trHeight w:val="212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кВт*ч/куб. м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DA5F2C" w:rsidRPr="00DA5F2C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DA5F2C">
              <w:rPr>
                <w:b/>
                <w:bCs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DA5F2C" w:rsidRPr="00DA5F2C">
        <w:trPr>
          <w:trHeight w:val="215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0</w:t>
            </w:r>
          </w:p>
        </w:tc>
      </w:tr>
      <w:tr w:rsidR="00DA5F2C" w:rsidRPr="00DA5F2C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    </w:t>
            </w:r>
            <w:r w:rsidRPr="00DA5F2C">
              <w:rPr>
                <w:b/>
                <w:bCs/>
                <w:sz w:val="20"/>
                <w:szCs w:val="20"/>
              </w:rPr>
              <w:t xml:space="preserve">7. Общий объем финансовых потребностей, направленных на реализацию      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b/>
                <w:bCs/>
                <w:sz w:val="20"/>
                <w:szCs w:val="20"/>
              </w:rPr>
              <w:t xml:space="preserve">                         производственной программы</w:t>
            </w:r>
            <w:r w:rsidRPr="00DA5F2C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DA5F2C" w:rsidRPr="00DA5F2C">
        <w:trPr>
          <w:trHeight w:val="478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Всего сумма, </w:t>
            </w:r>
          </w:p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тыс. руб.  </w:t>
            </w:r>
          </w:p>
        </w:tc>
      </w:tr>
      <w:tr w:rsidR="00DA5F2C" w:rsidRPr="00DA5F2C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2016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7921,542</w:t>
            </w:r>
          </w:p>
        </w:tc>
      </w:tr>
      <w:tr w:rsidR="00DA5F2C" w:rsidRPr="00DA5F2C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2017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8266,146</w:t>
            </w:r>
          </w:p>
        </w:tc>
      </w:tr>
      <w:tr w:rsidR="00DA5F2C" w:rsidRPr="00DA5F2C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На 2018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8576,087</w:t>
            </w:r>
          </w:p>
        </w:tc>
      </w:tr>
      <w:tr w:rsidR="00DA5F2C" w:rsidRPr="00DA5F2C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24763,775</w:t>
            </w:r>
          </w:p>
        </w:tc>
      </w:tr>
      <w:tr w:rsidR="00DA5F2C" w:rsidRPr="00DA5F2C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 xml:space="preserve">        </w:t>
            </w:r>
            <w:r w:rsidRPr="00DA5F2C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DA5F2C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DA5F2C" w:rsidRPr="00DA5F2C">
        <w:trPr>
          <w:trHeight w:val="372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2015 год</w:t>
            </w:r>
          </w:p>
        </w:tc>
      </w:tr>
      <w:tr w:rsidR="00DA5F2C" w:rsidRPr="00DA5F2C">
        <w:trPr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196,1</w:t>
            </w:r>
          </w:p>
        </w:tc>
      </w:tr>
      <w:tr w:rsidR="00DA5F2C" w:rsidRPr="00DA5F2C">
        <w:trPr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6065</w:t>
            </w:r>
          </w:p>
        </w:tc>
      </w:tr>
      <w:tr w:rsidR="00DA5F2C" w:rsidRPr="00DA5F2C">
        <w:trPr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2231</w:t>
            </w:r>
          </w:p>
        </w:tc>
      </w:tr>
      <w:tr w:rsidR="00DA5F2C" w:rsidRPr="00DA5F2C">
        <w:trPr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5F2C" w:rsidRPr="00DA5F2C" w:rsidRDefault="00DA5F2C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5F2C">
              <w:rPr>
                <w:sz w:val="20"/>
                <w:szCs w:val="20"/>
              </w:rPr>
              <w:t>8296</w:t>
            </w:r>
          </w:p>
        </w:tc>
      </w:tr>
    </w:tbl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722410" w:rsidTr="00722410">
        <w:tc>
          <w:tcPr>
            <w:tcW w:w="3135" w:type="dxa"/>
          </w:tcPr>
          <w:p w:rsidR="00722410" w:rsidRDefault="0072241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722410" w:rsidRDefault="0072241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722410" w:rsidRDefault="00722410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09005-516-037/25</w:t>
            </w:r>
          </w:p>
        </w:tc>
        <w:tc>
          <w:tcPr>
            <w:tcW w:w="3164" w:type="dxa"/>
          </w:tcPr>
          <w:p w:rsidR="00722410" w:rsidRDefault="00722410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722410" w:rsidRDefault="00722410">
            <w:pPr>
              <w:tabs>
                <w:tab w:val="left" w:pos="1897"/>
              </w:tabs>
            </w:pPr>
          </w:p>
        </w:tc>
      </w:tr>
    </w:tbl>
    <w:p w:rsidR="00722410" w:rsidRDefault="00722410" w:rsidP="00722410">
      <w:pPr>
        <w:tabs>
          <w:tab w:val="left" w:pos="1897"/>
        </w:tabs>
        <w:spacing w:line="276" w:lineRule="auto"/>
      </w:pPr>
    </w:p>
    <w:p w:rsidR="00476B06" w:rsidRPr="00F86C30" w:rsidRDefault="00476B06" w:rsidP="00F86C30">
      <w:pPr>
        <w:tabs>
          <w:tab w:val="left" w:pos="1897"/>
        </w:tabs>
        <w:spacing w:line="276" w:lineRule="auto"/>
      </w:pPr>
    </w:p>
    <w:sectPr w:rsidR="00476B06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B06" w:rsidRDefault="00476B06">
      <w:r>
        <w:separator/>
      </w:r>
    </w:p>
  </w:endnote>
  <w:endnote w:type="continuationSeparator" w:id="0">
    <w:p w:rsidR="00476B06" w:rsidRDefault="00476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B06" w:rsidRDefault="00476B06">
      <w:r>
        <w:separator/>
      </w:r>
    </w:p>
  </w:footnote>
  <w:footnote w:type="continuationSeparator" w:id="0">
    <w:p w:rsidR="00476B06" w:rsidRDefault="00476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6" w:rsidRDefault="00476B06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5CEC">
      <w:rPr>
        <w:rStyle w:val="a9"/>
        <w:noProof/>
      </w:rPr>
      <w:t>6</w:t>
    </w:r>
    <w:r>
      <w:rPr>
        <w:rStyle w:val="a9"/>
      </w:rPr>
      <w:fldChar w:fldCharType="end"/>
    </w:r>
  </w:p>
  <w:p w:rsidR="00476B06" w:rsidRDefault="00476B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6" w:rsidRDefault="00285CE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76B06" w:rsidRPr="00E52B15" w:rsidRDefault="00285CEC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76B06" w:rsidRPr="00561114" w:rsidRDefault="00476B06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76B06" w:rsidRPr="00561114" w:rsidRDefault="00476B06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76B06" w:rsidRPr="000F7B5C" w:rsidRDefault="00476B06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76B06" w:rsidRPr="000F7B5C" w:rsidRDefault="00476B0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76B06" w:rsidRDefault="00476B06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76B06" w:rsidRDefault="00476B06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76B06" w:rsidRPr="002B6128" w:rsidRDefault="00476B0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76B06" w:rsidRDefault="00476B06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76B06" w:rsidRPr="001772E6" w:rsidRDefault="00476B0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76B06" w:rsidRDefault="00476B06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87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2E24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5C3D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CEC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B06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5C9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2FA"/>
    <w:rsid w:val="005E1AA8"/>
    <w:rsid w:val="005E288B"/>
    <w:rsid w:val="005E29A4"/>
    <w:rsid w:val="005E3616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410"/>
    <w:rsid w:val="00722B42"/>
    <w:rsid w:val="00722BC7"/>
    <w:rsid w:val="00722FE3"/>
    <w:rsid w:val="00723570"/>
    <w:rsid w:val="00724E84"/>
    <w:rsid w:val="0072567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182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5F2C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1584</Words>
  <Characters>9035</Characters>
  <Application>Microsoft Office Word</Application>
  <DocSecurity>0</DocSecurity>
  <Lines>75</Lines>
  <Paragraphs>21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2017-01-17T13:24:00Z</dcterms:created>
  <dcterms:modified xsi:type="dcterms:W3CDTF">2017-01-17T13:24:00Z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