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4C710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4C7109">
              <w:rPr>
                <w:noProof/>
              </w:rPr>
              <w:t>6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2308C5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37/</w:t>
            </w:r>
            <w:r w:rsidR="002308C5">
              <w:rPr>
                <w:noProof/>
              </w:rPr>
              <w:t>4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2308C5" w:rsidRDefault="00F54F00" w:rsidP="002308C5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308C5" w:rsidRPr="002308C5">
              <w:rPr>
                <w:noProof/>
              </w:rPr>
              <w:t xml:space="preserve">О внесении изменения в решение региональной службы по тарифам Нижегородской области от 17 ноября 2015 года № 40/19 «Об установлении МУНИЦИПАЛЬНОМУ УНИТАРНОМУ ПРЕДПРИЯТИЮ «ЖИЛИЩНО-КОММУНАЛЬНОЕ ХОЗЯЙСТВО», </w:t>
            </w:r>
          </w:p>
          <w:p w:rsidR="0085764D" w:rsidRPr="00252D0D" w:rsidRDefault="002308C5" w:rsidP="002308C5">
            <w:pPr>
              <w:jc w:val="center"/>
            </w:pPr>
            <w:r w:rsidRPr="002308C5">
              <w:rPr>
                <w:noProof/>
              </w:rPr>
              <w:t xml:space="preserve">р.п. Шаранга Нижегородской области, тарифов на тепловую энергию (мощность), поставляемую потребителям Шарангского муниципального района 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162E3" w:rsidRPr="009A4E37" w:rsidRDefault="009A4E37" w:rsidP="009A4E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4E37">
        <w:rPr>
          <w:rFonts w:ascii="Times New Roman" w:hAnsi="Times New Roman" w:cs="Times New Roman"/>
          <w:sz w:val="28"/>
          <w:szCs w:val="28"/>
        </w:rPr>
        <w:t>Нижегородской области»</w:t>
      </w:r>
    </w:p>
    <w:p w:rsidR="009A4E37" w:rsidRDefault="009A4E37" w:rsidP="004A415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8C5" w:rsidRPr="002308C5" w:rsidRDefault="002308C5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8C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 года № 190-ФЗ «О теплоснабжении», постановлением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308C5">
        <w:rPr>
          <w:rFonts w:ascii="Times New Roman" w:hAnsi="Times New Roman" w:cs="Times New Roman"/>
          <w:sz w:val="28"/>
          <w:szCs w:val="28"/>
        </w:rPr>
        <w:t xml:space="preserve"> от 22 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8C5">
        <w:rPr>
          <w:rFonts w:ascii="Times New Roman" w:hAnsi="Times New Roman" w:cs="Times New Roman"/>
          <w:sz w:val="28"/>
          <w:szCs w:val="28"/>
        </w:rPr>
        <w:t>и на основании рассмотрения расчетных и обосновывающих материалов, представленных МУНИЦИПАЛЬНЫМ УНИТАРНЫМ ПРЕДПРИЯТИЕМ «ЖИЛИЩНО-КОММУНАЛЬНОЕ ХОЗЯЙСТВО», р.п. Шаранга Нижегородской области</w:t>
      </w:r>
      <w:r w:rsidRPr="002308C5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2308C5">
        <w:rPr>
          <w:rFonts w:ascii="Times New Roman" w:hAnsi="Times New Roman" w:cs="Times New Roman"/>
          <w:sz w:val="28"/>
          <w:szCs w:val="28"/>
        </w:rPr>
        <w:t>экспертного заключения рег. № в-248 от 8 ноября 2016 года:</w:t>
      </w:r>
    </w:p>
    <w:p w:rsidR="002308C5" w:rsidRPr="002308C5" w:rsidRDefault="002308C5" w:rsidP="002308C5">
      <w:pPr>
        <w:pStyle w:val="ac"/>
        <w:spacing w:line="276" w:lineRule="auto"/>
        <w:ind w:firstLine="708"/>
      </w:pPr>
      <w:r w:rsidRPr="002308C5">
        <w:rPr>
          <w:b/>
          <w:bCs/>
        </w:rPr>
        <w:t>1.</w:t>
      </w:r>
      <w:r w:rsidRPr="002308C5">
        <w:t xml:space="preserve"> Внести </w:t>
      </w:r>
      <w:r w:rsidRPr="002308C5">
        <w:rPr>
          <w:noProof/>
        </w:rPr>
        <w:t xml:space="preserve">в решение региональной службы по тарифам Нижегородской области </w:t>
      </w:r>
      <w:r>
        <w:rPr>
          <w:noProof/>
        </w:rPr>
        <w:t xml:space="preserve">от </w:t>
      </w:r>
      <w:r w:rsidRPr="002308C5">
        <w:rPr>
          <w:noProof/>
        </w:rPr>
        <w:t xml:space="preserve">17 ноября 2015 года № 40/19 «Об установлении </w:t>
      </w:r>
      <w:r w:rsidRPr="002308C5">
        <w:t>МУНИЦИПАЛЬНОМУ УНИТАРНОМУ ПРЕДПРИЯТИЮ «ЖИЛИЩНО-КОММУНАЛЬНОЕ ХОЗЯЙСТВО», р.п. Шаранга Нижегородской области,</w:t>
      </w:r>
      <w:r w:rsidRPr="002308C5">
        <w:rPr>
          <w:noProof/>
        </w:rPr>
        <w:t xml:space="preserve"> тарифов на тепловую энергию (мощность), поставляемую</w:t>
      </w:r>
      <w:r w:rsidRPr="002308C5">
        <w:t xml:space="preserve"> потребителям Шарангского муниципального района Нижегородской области» изменение, изложив таблицу Приложения 2 к решению в следующей редакции:</w:t>
      </w:r>
    </w:p>
    <w:p w:rsidR="002308C5" w:rsidRPr="002308C5" w:rsidRDefault="002308C5" w:rsidP="002308C5">
      <w:pPr>
        <w:pStyle w:val="ac"/>
        <w:spacing w:line="276" w:lineRule="auto"/>
      </w:pPr>
      <w:r w:rsidRPr="002308C5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4"/>
        <w:gridCol w:w="2909"/>
        <w:gridCol w:w="2085"/>
        <w:gridCol w:w="973"/>
        <w:gridCol w:w="1366"/>
        <w:gridCol w:w="1574"/>
      </w:tblGrid>
      <w:tr w:rsidR="002308C5" w:rsidRPr="00C13D81">
        <w:tc>
          <w:tcPr>
            <w:tcW w:w="664" w:type="dxa"/>
            <w:vMerge w:val="restart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909" w:type="dxa"/>
            <w:vMerge w:val="restart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2085" w:type="dxa"/>
            <w:vMerge w:val="restart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Вид тарифа</w:t>
            </w:r>
          </w:p>
        </w:tc>
        <w:tc>
          <w:tcPr>
            <w:tcW w:w="973" w:type="dxa"/>
            <w:vMerge w:val="restart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940" w:type="dxa"/>
            <w:gridSpan w:val="2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Вода</w:t>
            </w:r>
          </w:p>
        </w:tc>
      </w:tr>
      <w:tr w:rsidR="002308C5" w:rsidRPr="00C13D81">
        <w:tc>
          <w:tcPr>
            <w:tcW w:w="664" w:type="dxa"/>
            <w:vMerge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9" w:type="dxa"/>
            <w:vMerge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3" w:type="dxa"/>
            <w:vMerge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6" w:type="dxa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574" w:type="dxa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2308C5" w:rsidRPr="00C13D81">
        <w:tc>
          <w:tcPr>
            <w:tcW w:w="664" w:type="dxa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909" w:type="dxa"/>
            <w:vMerge w:val="restart"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 xml:space="preserve">МУНИЦИПАЛЬНОЕ УНИТАРНОЕ ПРЕДПРИЯТИЕ «ЖИЛИЩНО-КОММУНАЛЬНОЕ </w:t>
            </w:r>
            <w:r w:rsidRPr="00C13D81">
              <w:rPr>
                <w:sz w:val="24"/>
                <w:szCs w:val="24"/>
              </w:rPr>
              <w:lastRenderedPageBreak/>
              <w:t>ХОЗЯЙСТВО», р.п. Шаранга Нижегородской области</w:t>
            </w:r>
          </w:p>
        </w:tc>
        <w:tc>
          <w:tcPr>
            <w:tcW w:w="5998" w:type="dxa"/>
            <w:gridSpan w:val="4"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ind w:right="57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24"/>
                <w:szCs w:val="24"/>
              </w:rPr>
              <w:lastRenderedPageBreak/>
              <w:t>Для потребителей на территории с. Большое Устинское Шарангского муниципального района Нижегородской области, в случае отсутствия дифференциации тарифов по схеме подключения</w:t>
            </w:r>
          </w:p>
        </w:tc>
      </w:tr>
      <w:tr w:rsidR="002308C5" w:rsidRPr="00C13D81">
        <w:tc>
          <w:tcPr>
            <w:tcW w:w="664" w:type="dxa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2909" w:type="dxa"/>
            <w:vMerge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 w:val="restart"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 xml:space="preserve">одноставочный, </w:t>
            </w:r>
            <w:r w:rsidRPr="00C13D81">
              <w:rPr>
                <w:sz w:val="20"/>
                <w:szCs w:val="20"/>
              </w:rPr>
              <w:lastRenderedPageBreak/>
              <w:t>руб./Гкал</w:t>
            </w:r>
          </w:p>
        </w:tc>
        <w:tc>
          <w:tcPr>
            <w:tcW w:w="973" w:type="dxa"/>
            <w:vAlign w:val="center"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lastRenderedPageBreak/>
              <w:t>2016</w:t>
            </w:r>
          </w:p>
        </w:tc>
        <w:tc>
          <w:tcPr>
            <w:tcW w:w="1366" w:type="dxa"/>
            <w:vAlign w:val="bottom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3067,23</w:t>
            </w:r>
          </w:p>
        </w:tc>
        <w:tc>
          <w:tcPr>
            <w:tcW w:w="1574" w:type="dxa"/>
            <w:vAlign w:val="bottom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3225,56</w:t>
            </w:r>
          </w:p>
        </w:tc>
      </w:tr>
      <w:tr w:rsidR="002308C5" w:rsidRPr="00C13D81">
        <w:tc>
          <w:tcPr>
            <w:tcW w:w="664" w:type="dxa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909" w:type="dxa"/>
            <w:vMerge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366" w:type="dxa"/>
            <w:vAlign w:val="center"/>
          </w:tcPr>
          <w:p w:rsidR="002308C5" w:rsidRPr="00C13D81" w:rsidRDefault="002308C5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3225,56</w:t>
            </w:r>
          </w:p>
        </w:tc>
        <w:tc>
          <w:tcPr>
            <w:tcW w:w="1574" w:type="dxa"/>
            <w:vAlign w:val="center"/>
          </w:tcPr>
          <w:p w:rsidR="002308C5" w:rsidRPr="00C13D81" w:rsidRDefault="002308C5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3353,98</w:t>
            </w:r>
          </w:p>
        </w:tc>
      </w:tr>
      <w:tr w:rsidR="002308C5" w:rsidRPr="00C13D81">
        <w:tc>
          <w:tcPr>
            <w:tcW w:w="664" w:type="dxa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lastRenderedPageBreak/>
              <w:t>1.3.</w:t>
            </w:r>
          </w:p>
        </w:tc>
        <w:tc>
          <w:tcPr>
            <w:tcW w:w="2909" w:type="dxa"/>
            <w:vMerge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366" w:type="dxa"/>
            <w:vAlign w:val="center"/>
          </w:tcPr>
          <w:p w:rsidR="002308C5" w:rsidRPr="00C13D81" w:rsidRDefault="002308C5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3353,98</w:t>
            </w:r>
          </w:p>
        </w:tc>
        <w:tc>
          <w:tcPr>
            <w:tcW w:w="1574" w:type="dxa"/>
            <w:vAlign w:val="center"/>
          </w:tcPr>
          <w:p w:rsidR="002308C5" w:rsidRPr="00C13D81" w:rsidRDefault="003029F2" w:rsidP="00E1704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3509,32</w:t>
            </w:r>
          </w:p>
        </w:tc>
      </w:tr>
      <w:tr w:rsidR="002308C5" w:rsidRPr="00C13D81">
        <w:tc>
          <w:tcPr>
            <w:tcW w:w="664" w:type="dxa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9" w:type="dxa"/>
            <w:vMerge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8" w:type="dxa"/>
            <w:gridSpan w:val="4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C13D81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2308C5" w:rsidRPr="00C13D81">
        <w:tc>
          <w:tcPr>
            <w:tcW w:w="664" w:type="dxa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2909" w:type="dxa"/>
            <w:vMerge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 w:val="restart"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73" w:type="dxa"/>
            <w:vAlign w:val="center"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366" w:type="dxa"/>
            <w:vAlign w:val="bottom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3067,23</w:t>
            </w:r>
          </w:p>
        </w:tc>
        <w:tc>
          <w:tcPr>
            <w:tcW w:w="1574" w:type="dxa"/>
            <w:vAlign w:val="bottom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3225,56</w:t>
            </w:r>
          </w:p>
        </w:tc>
      </w:tr>
      <w:tr w:rsidR="002308C5" w:rsidRPr="00C13D81">
        <w:tc>
          <w:tcPr>
            <w:tcW w:w="664" w:type="dxa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2909" w:type="dxa"/>
            <w:vMerge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366" w:type="dxa"/>
            <w:vAlign w:val="center"/>
          </w:tcPr>
          <w:p w:rsidR="002308C5" w:rsidRPr="00C13D81" w:rsidRDefault="002308C5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3225,56</w:t>
            </w:r>
          </w:p>
        </w:tc>
        <w:tc>
          <w:tcPr>
            <w:tcW w:w="1574" w:type="dxa"/>
            <w:vAlign w:val="center"/>
          </w:tcPr>
          <w:p w:rsidR="002308C5" w:rsidRPr="00C13D81" w:rsidRDefault="002308C5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3353,98</w:t>
            </w:r>
          </w:p>
        </w:tc>
      </w:tr>
      <w:tr w:rsidR="002308C5" w:rsidRPr="00C13D81">
        <w:tc>
          <w:tcPr>
            <w:tcW w:w="664" w:type="dxa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2909" w:type="dxa"/>
            <w:vMerge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366" w:type="dxa"/>
            <w:vAlign w:val="center"/>
          </w:tcPr>
          <w:p w:rsidR="002308C5" w:rsidRPr="00C13D81" w:rsidRDefault="002308C5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3353,98</w:t>
            </w:r>
          </w:p>
        </w:tc>
        <w:tc>
          <w:tcPr>
            <w:tcW w:w="1574" w:type="dxa"/>
            <w:vAlign w:val="center"/>
          </w:tcPr>
          <w:p w:rsidR="002308C5" w:rsidRPr="00C13D81" w:rsidRDefault="003029F2" w:rsidP="00E1704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3509,32</w:t>
            </w:r>
          </w:p>
        </w:tc>
      </w:tr>
      <w:tr w:rsidR="002308C5" w:rsidRPr="00C13D81">
        <w:tc>
          <w:tcPr>
            <w:tcW w:w="664" w:type="dxa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909" w:type="dxa"/>
            <w:vMerge w:val="restart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МУНИЦИПАЛЬНОЕ УНИТАРНОЕ ПРЕДПРИЯТИЕ «ЖИЛИЩНО-КОММУНАЛЬНОЕ ХОЗЯЙСТВО», р.п. Шаранга Нижегородской области</w:t>
            </w:r>
          </w:p>
        </w:tc>
        <w:tc>
          <w:tcPr>
            <w:tcW w:w="5998" w:type="dxa"/>
            <w:gridSpan w:val="4"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ind w:right="57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24"/>
                <w:szCs w:val="24"/>
              </w:rPr>
              <w:t>Для потребителей на территории р.п. Шаранга Нижегородской области, в случае отсутствия дифференциации тарифов по схеме подключения</w:t>
            </w:r>
          </w:p>
        </w:tc>
      </w:tr>
      <w:tr w:rsidR="002308C5" w:rsidRPr="00C13D81">
        <w:tc>
          <w:tcPr>
            <w:tcW w:w="664" w:type="dxa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2.1.</w:t>
            </w:r>
          </w:p>
        </w:tc>
        <w:tc>
          <w:tcPr>
            <w:tcW w:w="2909" w:type="dxa"/>
            <w:vMerge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 w:val="restart"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73" w:type="dxa"/>
            <w:vAlign w:val="center"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366" w:type="dxa"/>
            <w:vAlign w:val="bottom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3434,56</w:t>
            </w:r>
          </w:p>
        </w:tc>
        <w:tc>
          <w:tcPr>
            <w:tcW w:w="1574" w:type="dxa"/>
            <w:vAlign w:val="bottom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3622,72</w:t>
            </w:r>
          </w:p>
        </w:tc>
      </w:tr>
      <w:tr w:rsidR="002308C5" w:rsidRPr="00C13D81">
        <w:tc>
          <w:tcPr>
            <w:tcW w:w="664" w:type="dxa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2.2.</w:t>
            </w:r>
          </w:p>
        </w:tc>
        <w:tc>
          <w:tcPr>
            <w:tcW w:w="2909" w:type="dxa"/>
            <w:vMerge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366" w:type="dxa"/>
            <w:vAlign w:val="center"/>
          </w:tcPr>
          <w:p w:rsidR="002308C5" w:rsidRPr="00C13D81" w:rsidRDefault="002308C5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3622,72</w:t>
            </w:r>
          </w:p>
        </w:tc>
        <w:tc>
          <w:tcPr>
            <w:tcW w:w="1574" w:type="dxa"/>
            <w:vAlign w:val="center"/>
          </w:tcPr>
          <w:p w:rsidR="002308C5" w:rsidRPr="00C13D81" w:rsidRDefault="002308C5" w:rsidP="00E170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3764,26</w:t>
            </w:r>
          </w:p>
        </w:tc>
      </w:tr>
      <w:tr w:rsidR="002308C5" w:rsidRPr="00C13D81">
        <w:tc>
          <w:tcPr>
            <w:tcW w:w="664" w:type="dxa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2.3.</w:t>
            </w:r>
          </w:p>
        </w:tc>
        <w:tc>
          <w:tcPr>
            <w:tcW w:w="2909" w:type="dxa"/>
            <w:vMerge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366" w:type="dxa"/>
            <w:vAlign w:val="center"/>
          </w:tcPr>
          <w:p w:rsidR="002308C5" w:rsidRPr="00C13D81" w:rsidRDefault="002308C5" w:rsidP="00E170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3764,26</w:t>
            </w:r>
          </w:p>
        </w:tc>
        <w:tc>
          <w:tcPr>
            <w:tcW w:w="1574" w:type="dxa"/>
            <w:vAlign w:val="center"/>
          </w:tcPr>
          <w:p w:rsidR="002308C5" w:rsidRPr="00C13D81" w:rsidRDefault="002308C5" w:rsidP="00E1704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3853,63</w:t>
            </w:r>
          </w:p>
        </w:tc>
      </w:tr>
      <w:tr w:rsidR="002308C5" w:rsidRPr="00C13D81">
        <w:tc>
          <w:tcPr>
            <w:tcW w:w="664" w:type="dxa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9" w:type="dxa"/>
            <w:vMerge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8" w:type="dxa"/>
            <w:gridSpan w:val="4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C13D81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2308C5" w:rsidRPr="00C13D81">
        <w:tc>
          <w:tcPr>
            <w:tcW w:w="664" w:type="dxa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2.4.</w:t>
            </w:r>
          </w:p>
        </w:tc>
        <w:tc>
          <w:tcPr>
            <w:tcW w:w="2909" w:type="dxa"/>
            <w:vMerge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 w:val="restart"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73" w:type="dxa"/>
            <w:vAlign w:val="center"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366" w:type="dxa"/>
            <w:vAlign w:val="bottom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3434,56</w:t>
            </w:r>
          </w:p>
        </w:tc>
        <w:tc>
          <w:tcPr>
            <w:tcW w:w="1574" w:type="dxa"/>
            <w:vAlign w:val="bottom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3622,72</w:t>
            </w:r>
          </w:p>
        </w:tc>
      </w:tr>
      <w:tr w:rsidR="002308C5" w:rsidRPr="00C13D81">
        <w:tc>
          <w:tcPr>
            <w:tcW w:w="664" w:type="dxa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2.5.</w:t>
            </w:r>
          </w:p>
        </w:tc>
        <w:tc>
          <w:tcPr>
            <w:tcW w:w="2909" w:type="dxa"/>
            <w:vMerge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366" w:type="dxa"/>
            <w:vAlign w:val="center"/>
          </w:tcPr>
          <w:p w:rsidR="002308C5" w:rsidRPr="00C13D81" w:rsidRDefault="002308C5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3622,72</w:t>
            </w:r>
          </w:p>
        </w:tc>
        <w:tc>
          <w:tcPr>
            <w:tcW w:w="1574" w:type="dxa"/>
            <w:vAlign w:val="center"/>
          </w:tcPr>
          <w:p w:rsidR="002308C5" w:rsidRPr="00C13D81" w:rsidRDefault="002308C5" w:rsidP="00E170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3764,26</w:t>
            </w:r>
          </w:p>
        </w:tc>
      </w:tr>
      <w:tr w:rsidR="002308C5" w:rsidRPr="00C13D81">
        <w:tc>
          <w:tcPr>
            <w:tcW w:w="664" w:type="dxa"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2.6.</w:t>
            </w:r>
          </w:p>
        </w:tc>
        <w:tc>
          <w:tcPr>
            <w:tcW w:w="2909" w:type="dxa"/>
            <w:vMerge/>
          </w:tcPr>
          <w:p w:rsidR="002308C5" w:rsidRPr="00C13D81" w:rsidRDefault="002308C5" w:rsidP="00E170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2308C5" w:rsidRPr="00C13D81" w:rsidRDefault="002308C5" w:rsidP="00E17043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366" w:type="dxa"/>
            <w:vAlign w:val="center"/>
          </w:tcPr>
          <w:p w:rsidR="002308C5" w:rsidRPr="00C13D81" w:rsidRDefault="002308C5" w:rsidP="00E170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3764,26</w:t>
            </w:r>
          </w:p>
        </w:tc>
        <w:tc>
          <w:tcPr>
            <w:tcW w:w="1574" w:type="dxa"/>
            <w:vAlign w:val="center"/>
          </w:tcPr>
          <w:p w:rsidR="002308C5" w:rsidRPr="00C13D81" w:rsidRDefault="002308C5" w:rsidP="00E1704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3853,63</w:t>
            </w:r>
          </w:p>
        </w:tc>
      </w:tr>
    </w:tbl>
    <w:p w:rsidR="002308C5" w:rsidRPr="002308C5" w:rsidRDefault="002308C5" w:rsidP="002308C5">
      <w:pPr>
        <w:pStyle w:val="ac"/>
        <w:spacing w:line="276" w:lineRule="auto"/>
        <w:jc w:val="right"/>
      </w:pPr>
      <w:r w:rsidRPr="002308C5">
        <w:t>».</w:t>
      </w:r>
    </w:p>
    <w:p w:rsidR="002308C5" w:rsidRPr="002308C5" w:rsidRDefault="002308C5" w:rsidP="002308C5">
      <w:pPr>
        <w:pStyle w:val="ac"/>
        <w:spacing w:line="276" w:lineRule="auto"/>
        <w:ind w:firstLine="708"/>
      </w:pPr>
      <w:r w:rsidRPr="002308C5">
        <w:rPr>
          <w:b/>
          <w:bCs/>
        </w:rPr>
        <w:t>2.</w:t>
      </w:r>
      <w:r w:rsidRPr="002308C5">
        <w:t xml:space="preserve"> Настоящее решение вступает в силу с 1 января 2017 года.</w:t>
      </w: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tbl>
      <w:tblPr>
        <w:tblW w:w="0" w:type="auto"/>
        <w:tblInd w:w="-558" w:type="dxa"/>
        <w:tblLook w:val="00A0"/>
      </w:tblPr>
      <w:tblGrid>
        <w:gridCol w:w="3135"/>
        <w:gridCol w:w="3164"/>
        <w:gridCol w:w="3164"/>
      </w:tblGrid>
      <w:tr w:rsidR="00102BE7" w:rsidTr="00102BE7">
        <w:tc>
          <w:tcPr>
            <w:tcW w:w="3135" w:type="dxa"/>
          </w:tcPr>
          <w:p w:rsidR="00102BE7" w:rsidRDefault="00102BE7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102BE7" w:rsidRDefault="00102BE7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ноября  2016</w:t>
            </w:r>
          </w:p>
          <w:p w:rsidR="00102BE7" w:rsidRDefault="00102BE7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08984-516-037/4</w:t>
            </w:r>
          </w:p>
        </w:tc>
        <w:tc>
          <w:tcPr>
            <w:tcW w:w="3164" w:type="dxa"/>
          </w:tcPr>
          <w:p w:rsidR="00102BE7" w:rsidRDefault="00102BE7">
            <w:pPr>
              <w:tabs>
                <w:tab w:val="left" w:pos="1897"/>
              </w:tabs>
            </w:pPr>
          </w:p>
        </w:tc>
        <w:tc>
          <w:tcPr>
            <w:tcW w:w="3164" w:type="dxa"/>
          </w:tcPr>
          <w:p w:rsidR="00102BE7" w:rsidRDefault="00102BE7">
            <w:pPr>
              <w:tabs>
                <w:tab w:val="left" w:pos="1897"/>
              </w:tabs>
            </w:pPr>
          </w:p>
        </w:tc>
      </w:tr>
    </w:tbl>
    <w:p w:rsidR="00102BE7" w:rsidRDefault="00102BE7" w:rsidP="00102BE7">
      <w:pPr>
        <w:tabs>
          <w:tab w:val="left" w:pos="1897"/>
        </w:tabs>
        <w:spacing w:line="276" w:lineRule="auto"/>
      </w:pPr>
    </w:p>
    <w:p w:rsidR="00102BE7" w:rsidRPr="00F86C30" w:rsidRDefault="00102BE7" w:rsidP="00F86C30">
      <w:pPr>
        <w:tabs>
          <w:tab w:val="left" w:pos="1897"/>
        </w:tabs>
        <w:spacing w:line="276" w:lineRule="auto"/>
      </w:pPr>
    </w:p>
    <w:sectPr w:rsidR="00102BE7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109" w:rsidRDefault="004C7109">
      <w:r>
        <w:separator/>
      </w:r>
    </w:p>
  </w:endnote>
  <w:endnote w:type="continuationSeparator" w:id="0">
    <w:p w:rsidR="004C7109" w:rsidRDefault="004C7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109" w:rsidRDefault="004C7109">
      <w:r>
        <w:separator/>
      </w:r>
    </w:p>
  </w:footnote>
  <w:footnote w:type="continuationSeparator" w:id="0">
    <w:p w:rsidR="004C7109" w:rsidRDefault="004C7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4C7109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10411">
      <w:rPr>
        <w:rStyle w:val="a9"/>
        <w:noProof/>
      </w:rPr>
      <w:t>2</w:t>
    </w:r>
    <w:r>
      <w:rPr>
        <w:rStyle w:val="a9"/>
      </w:rPr>
      <w:fldChar w:fldCharType="end"/>
    </w:r>
  </w:p>
  <w:p w:rsidR="004C7109" w:rsidRDefault="004C71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910411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4C7109" w:rsidRPr="00E52B15" w:rsidRDefault="00910411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C7109" w:rsidRDefault="004C7109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4C7109" w:rsidRDefault="004C7109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4C7109" w:rsidRPr="002B6128" w:rsidRDefault="004C7109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C7109" w:rsidRDefault="004C7109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4C7109" w:rsidRPr="001772E6" w:rsidRDefault="004C7109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C7109" w:rsidRDefault="004C7109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2BE7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8C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9F2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6A1F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372E8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15C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0411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4E3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1B39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6F9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5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2353</Characters>
  <Application>Microsoft Office Word</Application>
  <DocSecurity>0</DocSecurity>
  <Lines>19</Lines>
  <Paragraphs>5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2017-01-17T12:05:00Z</dcterms:created>
  <dcterms:modified xsi:type="dcterms:W3CDTF">2017-01-17T12:05:00Z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