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21DF5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85618" w:rsidP="00E20A3C">
            <w:pPr>
              <w:tabs>
                <w:tab w:val="center" w:pos="2160"/>
              </w:tabs>
              <w:ind w:left="-108"/>
              <w:jc w:val="center"/>
            </w:pPr>
            <w:r>
              <w:t>50/</w:t>
            </w:r>
            <w:r w:rsidR="00F27D01">
              <w:t>39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85764D" w:rsidRPr="0056238E" w:rsidRDefault="0056238E" w:rsidP="00D3046B">
            <w:pPr>
              <w:jc w:val="center"/>
              <w:rPr>
                <w:bCs/>
                <w:szCs w:val="28"/>
              </w:rPr>
            </w:pPr>
            <w:r w:rsidRPr="0056238E">
              <w:rPr>
                <w:szCs w:val="28"/>
              </w:rPr>
              <w:t xml:space="preserve">О внесении изменений в решение региональной службы по тарифам Нижегородской области </w:t>
            </w:r>
            <w:r>
              <w:rPr>
                <w:szCs w:val="28"/>
              </w:rPr>
              <w:br/>
            </w:r>
            <w:r w:rsidR="00D3046B" w:rsidRPr="00D3046B">
              <w:rPr>
                <w:szCs w:val="28"/>
              </w:rPr>
              <w:t xml:space="preserve"> от 6 </w:t>
            </w:r>
            <w:r w:rsidR="00D3046B" w:rsidRPr="00B216B8">
              <w:rPr>
                <w:szCs w:val="28"/>
              </w:rPr>
              <w:t xml:space="preserve">декабря 2018 г. </w:t>
            </w:r>
            <w:r w:rsidR="00B216B8" w:rsidRPr="00B216B8">
              <w:rPr>
                <w:szCs w:val="28"/>
              </w:rPr>
              <w:t>№ 50/59 «</w:t>
            </w:r>
            <w:r w:rsidR="00B216B8" w:rsidRPr="00B216B8">
              <w:rPr>
                <w:bCs/>
                <w:szCs w:val="28"/>
              </w:rPr>
              <w:t xml:space="preserve">Об установлении ОБЩЕСТВУ С ОГРАНИЧЕННОЙ ОТВЕТСТВЕННОСТЬЮ «АКВАКОМ» </w:t>
            </w:r>
            <w:r w:rsidR="00B216B8">
              <w:rPr>
                <w:bCs/>
                <w:szCs w:val="28"/>
              </w:rPr>
              <w:br/>
            </w:r>
            <w:r w:rsidR="00B216B8" w:rsidRPr="00B216B8">
              <w:rPr>
                <w:bCs/>
                <w:szCs w:val="28"/>
              </w:rPr>
              <w:t>(ИНН 5228056218), д. Беласовка городского округа Семеновский Нижегородской области, тарифов в сфере холодного водоснабжения и водоотведения для потребителей городского округа Семеновский Нижегородской области</w:t>
            </w:r>
            <w:r w:rsidR="00B216B8" w:rsidRPr="00B216B8">
              <w:rPr>
                <w:szCs w:val="28"/>
              </w:rPr>
              <w:t>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Pr="00C21DF5" w:rsidRDefault="00261BEB" w:rsidP="00C21DF5">
      <w:pPr>
        <w:pStyle w:val="ac"/>
        <w:jc w:val="center"/>
      </w:pPr>
    </w:p>
    <w:p w:rsidR="00016631" w:rsidRDefault="00016631" w:rsidP="00C21DF5">
      <w:pPr>
        <w:pStyle w:val="ac"/>
        <w:jc w:val="center"/>
      </w:pPr>
    </w:p>
    <w:p w:rsidR="00E85618" w:rsidRPr="00C21DF5" w:rsidRDefault="00E85618" w:rsidP="00C21DF5">
      <w:pPr>
        <w:pStyle w:val="ac"/>
        <w:jc w:val="center"/>
      </w:pPr>
    </w:p>
    <w:p w:rsidR="00B216B8" w:rsidRPr="00B216B8" w:rsidRDefault="0056238E" w:rsidP="00B216B8">
      <w:pPr>
        <w:spacing w:line="276" w:lineRule="auto"/>
        <w:ind w:firstLine="709"/>
        <w:jc w:val="both"/>
        <w:rPr>
          <w:szCs w:val="28"/>
        </w:rPr>
      </w:pPr>
      <w:r w:rsidRPr="00B216B8">
        <w:rPr>
          <w:szCs w:val="28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="00B216B8" w:rsidRPr="00B216B8">
        <w:rPr>
          <w:bCs/>
          <w:szCs w:val="28"/>
        </w:rPr>
        <w:t>ОБЩЕСТВОМ С ОГРАНИЧЕННОЙ ОТВЕТСТВЕННОСТЬЮ «АКВАКОМ» (ИНН 5228056218), д. Беласовка городского округа Семеновский Нижегородской области</w:t>
      </w:r>
      <w:r w:rsidR="00B216B8" w:rsidRPr="00B216B8">
        <w:rPr>
          <w:szCs w:val="28"/>
        </w:rPr>
        <w:t>, экспертного заключения рег</w:t>
      </w:r>
      <w:r w:rsidR="00B216B8" w:rsidRPr="00463122">
        <w:rPr>
          <w:szCs w:val="28"/>
        </w:rPr>
        <w:t>. № в-</w:t>
      </w:r>
      <w:r w:rsidR="00463122" w:rsidRPr="00463122">
        <w:rPr>
          <w:szCs w:val="28"/>
        </w:rPr>
        <w:t>611</w:t>
      </w:r>
      <w:r w:rsidR="00B216B8" w:rsidRPr="00463122">
        <w:rPr>
          <w:szCs w:val="28"/>
        </w:rPr>
        <w:t xml:space="preserve"> от</w:t>
      </w:r>
      <w:r w:rsidR="00C21DF5" w:rsidRPr="00C21DF5">
        <w:rPr>
          <w:szCs w:val="28"/>
        </w:rPr>
        <w:t xml:space="preserve"> 7 ноября </w:t>
      </w:r>
      <w:r w:rsidR="00B216B8" w:rsidRPr="00C21DF5">
        <w:rPr>
          <w:szCs w:val="28"/>
        </w:rPr>
        <w:t>2019</w:t>
      </w:r>
      <w:r w:rsidR="00B216B8" w:rsidRPr="00B216B8">
        <w:rPr>
          <w:szCs w:val="28"/>
        </w:rPr>
        <w:t xml:space="preserve"> г.:</w:t>
      </w:r>
    </w:p>
    <w:p w:rsidR="00B216B8" w:rsidRPr="00B216B8" w:rsidRDefault="00B216B8" w:rsidP="00B216B8">
      <w:pPr>
        <w:spacing w:line="276" w:lineRule="auto"/>
        <w:ind w:firstLine="709"/>
        <w:jc w:val="both"/>
        <w:rPr>
          <w:noProof/>
          <w:szCs w:val="28"/>
        </w:rPr>
      </w:pPr>
      <w:r w:rsidRPr="00B216B8">
        <w:rPr>
          <w:b/>
          <w:szCs w:val="28"/>
        </w:rPr>
        <w:t xml:space="preserve">1. </w:t>
      </w:r>
      <w:r w:rsidRPr="00B216B8">
        <w:rPr>
          <w:bCs/>
          <w:szCs w:val="28"/>
        </w:rPr>
        <w:t xml:space="preserve">Внести в решение региональной службы по тарифам Нижегородской области </w:t>
      </w:r>
      <w:r w:rsidRPr="00B216B8">
        <w:rPr>
          <w:szCs w:val="28"/>
        </w:rPr>
        <w:t>от 6 декабря 2018 г. № 50/59 «</w:t>
      </w:r>
      <w:r w:rsidRPr="00B216B8">
        <w:rPr>
          <w:bCs/>
          <w:szCs w:val="28"/>
        </w:rPr>
        <w:t>Об установлении ОБЩЕСТВУ С ОГРАНИЧЕННОЙ ОТВЕТСТВЕННОСТЬЮ «АКВАКОМ» (ИНН 5228056218), д. Беласовка городского округа Семеновский Нижегородской области, тарифов в сфере холодного водоснабжения и водоотведения для потребителей городского округа Семеновский Нижегородской области</w:t>
      </w:r>
      <w:r w:rsidRPr="00B216B8">
        <w:rPr>
          <w:szCs w:val="28"/>
        </w:rPr>
        <w:t>»</w:t>
      </w:r>
      <w:r w:rsidRPr="00B216B8">
        <w:rPr>
          <w:noProof/>
          <w:szCs w:val="28"/>
        </w:rPr>
        <w:t xml:space="preserve"> следующие изменения:</w:t>
      </w:r>
    </w:p>
    <w:p w:rsidR="00B216B8" w:rsidRPr="00B216B8" w:rsidRDefault="00B216B8" w:rsidP="00B216B8">
      <w:pPr>
        <w:spacing w:line="276" w:lineRule="auto"/>
        <w:jc w:val="both"/>
        <w:rPr>
          <w:szCs w:val="28"/>
        </w:rPr>
      </w:pPr>
      <w:r w:rsidRPr="00B216B8">
        <w:rPr>
          <w:b/>
          <w:i/>
          <w:szCs w:val="28"/>
        </w:rPr>
        <w:t>1.1.</w:t>
      </w:r>
      <w:r w:rsidRPr="00B216B8">
        <w:rPr>
          <w:szCs w:val="28"/>
        </w:rPr>
        <w:t xml:space="preserve"> Таблицу пункта 3 решения изложить в следующей редакции:</w:t>
      </w:r>
    </w:p>
    <w:p w:rsidR="00B216B8" w:rsidRPr="00B216B8" w:rsidRDefault="00B216B8" w:rsidP="00B216B8">
      <w:pPr>
        <w:spacing w:line="276" w:lineRule="auto"/>
        <w:jc w:val="both"/>
        <w:rPr>
          <w:szCs w:val="28"/>
        </w:rPr>
      </w:pPr>
      <w:r w:rsidRPr="00B216B8">
        <w:rPr>
          <w:szCs w:val="28"/>
        </w:rPr>
        <w:t>«</w:t>
      </w:r>
    </w:p>
    <w:tbl>
      <w:tblPr>
        <w:tblW w:w="48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1609"/>
        <w:gridCol w:w="721"/>
        <w:gridCol w:w="785"/>
        <w:gridCol w:w="721"/>
        <w:gridCol w:w="785"/>
        <w:gridCol w:w="721"/>
        <w:gridCol w:w="785"/>
        <w:gridCol w:w="721"/>
        <w:gridCol w:w="791"/>
        <w:gridCol w:w="711"/>
        <w:gridCol w:w="725"/>
      </w:tblGrid>
      <w:tr w:rsidR="00B216B8" w:rsidRPr="00D942CE" w:rsidTr="006F360C">
        <w:trPr>
          <w:trHeight w:val="281"/>
          <w:jc w:val="center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Тарифы в сфере холодного водоснабжения и водоотведения</w:t>
            </w:r>
          </w:p>
        </w:tc>
        <w:tc>
          <w:tcPr>
            <w:tcW w:w="385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Периоды регулирования</w:t>
            </w:r>
          </w:p>
        </w:tc>
      </w:tr>
      <w:tr w:rsidR="00B216B8" w:rsidRPr="00D942CE" w:rsidTr="006F360C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D942CE">
              <w:rPr>
                <w:b/>
                <w:sz w:val="16"/>
                <w:szCs w:val="16"/>
                <w:lang w:eastAsia="en-US"/>
              </w:rPr>
              <w:t>2023 год</w:t>
            </w:r>
          </w:p>
        </w:tc>
      </w:tr>
      <w:tr w:rsidR="00B216B8" w:rsidRPr="00D942CE" w:rsidTr="006F360C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января по 30 июня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D942CE">
              <w:rPr>
                <w:b/>
                <w:sz w:val="14"/>
                <w:szCs w:val="14"/>
                <w:lang w:eastAsia="en-US"/>
              </w:rPr>
              <w:t>С 1 июля по 31 декабря</w:t>
            </w:r>
          </w:p>
        </w:tc>
      </w:tr>
      <w:tr w:rsidR="00930D37" w:rsidRPr="00D942CE" w:rsidTr="006F360C">
        <w:trPr>
          <w:trHeight w:val="133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D942CE">
              <w:rPr>
                <w:b/>
                <w:bCs/>
                <w:sz w:val="20"/>
                <w:lang w:eastAsia="en-US"/>
              </w:rPr>
              <w:lastRenderedPageBreak/>
              <w:t>1.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Питьевая вода, руб./м</w:t>
            </w:r>
            <w:r w:rsidRPr="00D942CE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41,88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42,64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45,22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48,81</w:t>
            </w:r>
          </w:p>
        </w:tc>
      </w:tr>
      <w:tr w:rsidR="00930D37" w:rsidRPr="00D942CE" w:rsidTr="006F360C">
        <w:trPr>
          <w:trHeight w:val="133"/>
          <w:jc w:val="center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D942CE">
              <w:rPr>
                <w:b/>
                <w:bCs/>
                <w:sz w:val="20"/>
                <w:lang w:eastAsia="en-US"/>
              </w:rPr>
              <w:t>2.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Питьевая вода, руб./м</w:t>
            </w:r>
            <w:r w:rsidRPr="00D942CE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41,88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42,64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42,64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43,50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43,50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45,22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45,22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47,03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47,03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48,81</w:t>
            </w:r>
          </w:p>
        </w:tc>
      </w:tr>
      <w:tr w:rsidR="00930D37" w:rsidRPr="00D942CE" w:rsidTr="006F360C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D37" w:rsidRPr="00D942CE" w:rsidRDefault="00930D37" w:rsidP="006F360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D37" w:rsidRPr="00D942CE" w:rsidRDefault="00930D37" w:rsidP="006F360C">
            <w:pPr>
              <w:rPr>
                <w:sz w:val="20"/>
              </w:rPr>
            </w:pPr>
          </w:p>
        </w:tc>
      </w:tr>
      <w:tr w:rsidR="00930D37" w:rsidRPr="00D942CE" w:rsidTr="006F360C">
        <w:trPr>
          <w:trHeight w:val="133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D942CE">
              <w:rPr>
                <w:b/>
                <w:bCs/>
                <w:sz w:val="20"/>
                <w:lang w:eastAsia="en-US"/>
              </w:rPr>
              <w:t>3.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D942CE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41,82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41,82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45,76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47,07</w:t>
            </w:r>
          </w:p>
        </w:tc>
      </w:tr>
      <w:tr w:rsidR="00930D37" w:rsidRPr="00D942CE" w:rsidTr="006F360C">
        <w:trPr>
          <w:trHeight w:val="133"/>
          <w:jc w:val="center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D942CE">
              <w:rPr>
                <w:b/>
                <w:bCs/>
                <w:sz w:val="20"/>
                <w:lang w:eastAsia="en-US"/>
              </w:rPr>
              <w:t>4.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0D37" w:rsidRPr="00D942CE" w:rsidRDefault="00930D37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Водоотведение (без учета очистки сточных вод), руб./м</w:t>
            </w:r>
            <w:r w:rsidRPr="00D942CE">
              <w:rPr>
                <w:sz w:val="20"/>
                <w:vertAlign w:val="superscript"/>
                <w:lang w:eastAsia="en-US"/>
              </w:rPr>
              <w:t>3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41,15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 w:rsidRPr="00D942CE">
              <w:rPr>
                <w:sz w:val="20"/>
              </w:rPr>
              <w:t>41,82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41,82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42,62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42,62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44,26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44,26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45,76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45,76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D37" w:rsidRPr="00D942CE" w:rsidRDefault="00930D37" w:rsidP="005A30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47,07</w:t>
            </w:r>
          </w:p>
        </w:tc>
      </w:tr>
      <w:tr w:rsidR="00B216B8" w:rsidRPr="00D942CE" w:rsidTr="006F360C">
        <w:trPr>
          <w:trHeight w:val="1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8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B8" w:rsidRPr="00D942CE" w:rsidRDefault="00B216B8" w:rsidP="006F360C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D942CE">
              <w:rPr>
                <w:sz w:val="20"/>
                <w:lang w:eastAsia="en-US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8" w:rsidRPr="00D942CE" w:rsidRDefault="00B216B8" w:rsidP="006F360C">
            <w:pPr>
              <w:rPr>
                <w:sz w:val="20"/>
              </w:rPr>
            </w:pPr>
          </w:p>
        </w:tc>
      </w:tr>
    </w:tbl>
    <w:p w:rsidR="00B216B8" w:rsidRPr="00B216B8" w:rsidRDefault="00B216B8" w:rsidP="00B216B8">
      <w:pPr>
        <w:spacing w:line="276" w:lineRule="auto"/>
        <w:jc w:val="right"/>
        <w:rPr>
          <w:szCs w:val="28"/>
        </w:rPr>
      </w:pPr>
      <w:r w:rsidRPr="00B216B8">
        <w:rPr>
          <w:szCs w:val="28"/>
        </w:rPr>
        <w:t>».</w:t>
      </w:r>
    </w:p>
    <w:p w:rsidR="00B216B8" w:rsidRPr="00B216B8" w:rsidRDefault="00B216B8" w:rsidP="00B216B8">
      <w:pPr>
        <w:spacing w:line="276" w:lineRule="auto"/>
        <w:jc w:val="both"/>
        <w:rPr>
          <w:szCs w:val="28"/>
        </w:rPr>
      </w:pPr>
      <w:r w:rsidRPr="00B216B8">
        <w:rPr>
          <w:b/>
          <w:i/>
          <w:szCs w:val="28"/>
        </w:rPr>
        <w:t>1.2.</w:t>
      </w:r>
      <w:r w:rsidRPr="00B216B8">
        <w:rPr>
          <w:szCs w:val="28"/>
        </w:rPr>
        <w:t xml:space="preserve"> </w:t>
      </w:r>
      <w:r w:rsidRPr="00B216B8">
        <w:rPr>
          <w:noProof/>
          <w:szCs w:val="28"/>
        </w:rPr>
        <w:t xml:space="preserve">Приложения 1, 2 </w:t>
      </w:r>
      <w:r w:rsidRPr="00B216B8">
        <w:rPr>
          <w:szCs w:val="28"/>
        </w:rPr>
        <w:t xml:space="preserve">к решению изложить в новой редакции согласно </w:t>
      </w:r>
      <w:r w:rsidRPr="00B216B8">
        <w:rPr>
          <w:noProof/>
          <w:szCs w:val="28"/>
        </w:rPr>
        <w:t xml:space="preserve">Приложениям 1, 2 </w:t>
      </w:r>
      <w:r w:rsidRPr="00B216B8">
        <w:rPr>
          <w:szCs w:val="28"/>
        </w:rPr>
        <w:t>к настоящему решению.</w:t>
      </w:r>
    </w:p>
    <w:p w:rsidR="0056238E" w:rsidRPr="00016631" w:rsidRDefault="0056238E" w:rsidP="00B216B8">
      <w:pPr>
        <w:spacing w:line="276" w:lineRule="auto"/>
        <w:ind w:firstLine="709"/>
        <w:jc w:val="both"/>
        <w:rPr>
          <w:szCs w:val="28"/>
        </w:rPr>
      </w:pPr>
      <w:r w:rsidRPr="00016631">
        <w:rPr>
          <w:b/>
          <w:szCs w:val="28"/>
        </w:rPr>
        <w:t xml:space="preserve">2. </w:t>
      </w:r>
      <w:r w:rsidRPr="00016631">
        <w:rPr>
          <w:szCs w:val="28"/>
        </w:rPr>
        <w:t>Настоящее решение вступает в силу с 1 января 2020 г.</w:t>
      </w:r>
    </w:p>
    <w:p w:rsidR="000C3EA3" w:rsidRPr="0056238E" w:rsidRDefault="000C3EA3" w:rsidP="00C21DF5">
      <w:pPr>
        <w:autoSpaceDE w:val="0"/>
        <w:autoSpaceDN w:val="0"/>
        <w:adjustRightInd w:val="0"/>
        <w:ind w:firstLine="720"/>
        <w:jc w:val="both"/>
        <w:rPr>
          <w:noProof/>
          <w:szCs w:val="28"/>
        </w:rPr>
      </w:pPr>
    </w:p>
    <w:p w:rsidR="000C3EA3" w:rsidRPr="000C3EA3" w:rsidRDefault="000C3EA3" w:rsidP="00C21DF5">
      <w:pPr>
        <w:tabs>
          <w:tab w:val="left" w:pos="1897"/>
        </w:tabs>
        <w:rPr>
          <w:noProof/>
        </w:rPr>
      </w:pPr>
    </w:p>
    <w:p w:rsidR="007D25C7" w:rsidRPr="007D25C7" w:rsidRDefault="007D25C7" w:rsidP="00C21DF5">
      <w:pPr>
        <w:pStyle w:val="ac"/>
        <w:ind w:firstLine="708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</w:t>
      </w:r>
      <w:r w:rsidR="00C21DF5">
        <w:rPr>
          <w:szCs w:val="28"/>
        </w:rPr>
        <w:t xml:space="preserve">      Ю.Л.Алешина</w:t>
      </w:r>
      <w:r w:rsidRPr="003F7CA5">
        <w:rPr>
          <w:szCs w:val="28"/>
        </w:rPr>
        <w:t xml:space="preserve">        </w:t>
      </w: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56238E" w:rsidRDefault="0056238E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C21DF5" w:rsidRDefault="00C21DF5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D3046B" w:rsidRDefault="00D3046B" w:rsidP="003F7CA5">
      <w:pPr>
        <w:tabs>
          <w:tab w:val="left" w:pos="1897"/>
        </w:tabs>
        <w:spacing w:line="276" w:lineRule="auto"/>
        <w:rPr>
          <w:szCs w:val="28"/>
        </w:rPr>
      </w:pPr>
    </w:p>
    <w:p w:rsidR="006648EA" w:rsidRDefault="006648EA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003C40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5C06DC" w:rsidRDefault="00E81283" w:rsidP="008305DC">
            <w:pPr>
              <w:ind w:left="3552"/>
              <w:jc w:val="center"/>
            </w:pPr>
            <w:r>
              <w:t xml:space="preserve">ПРИЛОЖЕНИЕ </w:t>
            </w:r>
            <w:r w:rsidR="00B216B8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C21DF5">
              <w:t xml:space="preserve">от </w:t>
            </w:r>
            <w:r w:rsidR="00C21DF5" w:rsidRPr="00C21DF5">
              <w:t xml:space="preserve">14 ноября </w:t>
            </w:r>
            <w:r w:rsidR="00F1607E" w:rsidRPr="00C21DF5">
              <w:t xml:space="preserve">2019 </w:t>
            </w:r>
            <w:r w:rsidR="00CC03DF" w:rsidRPr="00C21DF5">
              <w:t>г.</w:t>
            </w:r>
            <w:r w:rsidRPr="00C21DF5">
              <w:t xml:space="preserve"> №</w:t>
            </w:r>
            <w:r w:rsidR="006B0802" w:rsidRPr="00D74902">
              <w:t xml:space="preserve"> </w:t>
            </w:r>
            <w:r w:rsidR="00F27D01">
              <w:t>50/39</w:t>
            </w:r>
          </w:p>
          <w:p w:rsidR="0056238E" w:rsidRDefault="0056238E" w:rsidP="0056238E">
            <w:pPr>
              <w:ind w:left="3552"/>
              <w:jc w:val="center"/>
            </w:pPr>
          </w:p>
          <w:p w:rsidR="0056238E" w:rsidRDefault="0056238E" w:rsidP="0056238E">
            <w:pPr>
              <w:ind w:left="3552"/>
              <w:jc w:val="center"/>
            </w:pPr>
            <w:r>
              <w:t xml:space="preserve">«ПРИЛОЖЕНИЕ </w:t>
            </w:r>
            <w:r w:rsidR="00B216B8">
              <w:t>1</w:t>
            </w:r>
          </w:p>
          <w:p w:rsidR="0056238E" w:rsidRDefault="0056238E" w:rsidP="0056238E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56238E" w:rsidRPr="001D06AF" w:rsidRDefault="00D3046B" w:rsidP="00D3046B">
            <w:pPr>
              <w:ind w:left="3552"/>
              <w:jc w:val="center"/>
            </w:pPr>
            <w:r>
              <w:t>от 6</w:t>
            </w:r>
            <w:r w:rsidR="0056238E" w:rsidRPr="0056238E">
              <w:t xml:space="preserve"> декабря 2018 г. №</w:t>
            </w:r>
            <w:r w:rsidR="0056238E">
              <w:t xml:space="preserve"> </w:t>
            </w:r>
            <w:r>
              <w:t>50/5</w:t>
            </w:r>
            <w:r w:rsidR="00B216B8">
              <w:t>9</w:t>
            </w:r>
          </w:p>
        </w:tc>
      </w:tr>
      <w:tr w:rsidR="00AB760E" w:rsidRPr="006161EA" w:rsidTr="00003C40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521285" w:rsidRDefault="00521285" w:rsidP="00032C10">
            <w:pPr>
              <w:ind w:left="3552"/>
              <w:jc w:val="center"/>
              <w:rPr>
                <w:sz w:val="24"/>
                <w:szCs w:val="24"/>
              </w:rPr>
            </w:pPr>
          </w:p>
          <w:p w:rsidR="0056238E" w:rsidRDefault="0056238E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25C7" w:rsidRPr="007D25C7" w:rsidRDefault="00B0596B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7D25C7"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DC7870" w:rsidRDefault="007D25C7" w:rsidP="007D25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 w:rsidR="00016631">
              <w:rPr>
                <w:b/>
                <w:sz w:val="24"/>
                <w:szCs w:val="24"/>
              </w:rPr>
              <w:t>ХОЛОДНОГО ВОДОСНАБЖЕНИЯ</w:t>
            </w:r>
          </w:p>
          <w:p w:rsidR="007D25C7" w:rsidRPr="00B6104E" w:rsidRDefault="007D25C7" w:rsidP="00D3046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21285" w:rsidRDefault="00B17710" w:rsidP="00B2007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</w:t>
      </w:r>
      <w:r w:rsidR="0021466F">
        <w:rPr>
          <w:sz w:val="24"/>
          <w:szCs w:val="24"/>
          <w:lang w:eastAsia="en-US"/>
        </w:rPr>
        <w:t xml:space="preserve">дственной программы с </w:t>
      </w:r>
      <w:r w:rsidR="0056238E">
        <w:rPr>
          <w:sz w:val="24"/>
          <w:szCs w:val="24"/>
          <w:lang w:eastAsia="en-US"/>
        </w:rPr>
        <w:t>01.01</w:t>
      </w:r>
      <w:r w:rsidR="00114A0B">
        <w:rPr>
          <w:sz w:val="24"/>
          <w:szCs w:val="24"/>
          <w:lang w:eastAsia="en-US"/>
        </w:rPr>
        <w:t>.201</w:t>
      </w:r>
      <w:r w:rsidR="00A1039E">
        <w:rPr>
          <w:sz w:val="24"/>
          <w:szCs w:val="24"/>
          <w:lang w:eastAsia="en-US"/>
        </w:rPr>
        <w:t>9</w:t>
      </w:r>
      <w:r>
        <w:rPr>
          <w:sz w:val="24"/>
          <w:szCs w:val="24"/>
          <w:lang w:eastAsia="en-US"/>
        </w:rPr>
        <w:t xml:space="preserve"> г. по 31.12.20</w:t>
      </w:r>
      <w:r w:rsidR="0056238E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г.</w:t>
      </w:r>
    </w:p>
    <w:tbl>
      <w:tblPr>
        <w:tblW w:w="105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71"/>
        <w:gridCol w:w="23"/>
        <w:gridCol w:w="1033"/>
        <w:gridCol w:w="265"/>
        <w:gridCol w:w="30"/>
        <w:gridCol w:w="401"/>
        <w:gridCol w:w="42"/>
        <w:gridCol w:w="442"/>
        <w:gridCol w:w="383"/>
        <w:gridCol w:w="797"/>
        <w:gridCol w:w="64"/>
        <w:gridCol w:w="438"/>
        <w:gridCol w:w="89"/>
        <w:gridCol w:w="441"/>
        <w:gridCol w:w="443"/>
        <w:gridCol w:w="325"/>
        <w:gridCol w:w="264"/>
        <w:gridCol w:w="1035"/>
        <w:gridCol w:w="590"/>
        <w:gridCol w:w="44"/>
      </w:tblGrid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001351" w:rsidRPr="00001351" w:rsidTr="00001351">
        <w:trPr>
          <w:gridAfter w:val="2"/>
          <w:wAfter w:w="634" w:type="dxa"/>
          <w:trHeight w:val="458"/>
        </w:trPr>
        <w:tc>
          <w:tcPr>
            <w:tcW w:w="3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Наименование регулируемой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организации (ИНН)</w:t>
            </w:r>
          </w:p>
        </w:tc>
        <w:tc>
          <w:tcPr>
            <w:tcW w:w="651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ОБЩЕСТВО С ОГРАНИЧЕННОЙ ОТВЕТСТВЕННОСТЬЮ «АКВАКОМ» (ИНН 5228056218)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3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Местонахождение         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регулируемой организации   </w:t>
            </w:r>
          </w:p>
        </w:tc>
        <w:tc>
          <w:tcPr>
            <w:tcW w:w="651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C21DF5">
              <w:rPr>
                <w:sz w:val="20"/>
              </w:rPr>
              <w:t xml:space="preserve">606611, Нижегородская область, городской округ Семеновский, </w:t>
            </w:r>
            <w:r>
              <w:rPr>
                <w:sz w:val="20"/>
              </w:rPr>
              <w:br/>
            </w:r>
            <w:r w:rsidRPr="00C21DF5">
              <w:rPr>
                <w:sz w:val="20"/>
              </w:rPr>
              <w:t>д. Беласовка, ул. Специалистов, д. 25, офис 1</w:t>
            </w:r>
          </w:p>
        </w:tc>
      </w:tr>
      <w:tr w:rsidR="00001351" w:rsidRPr="00001351" w:rsidTr="00001351">
        <w:trPr>
          <w:gridAfter w:val="2"/>
          <w:wAfter w:w="634" w:type="dxa"/>
          <w:trHeight w:val="373"/>
        </w:trPr>
        <w:tc>
          <w:tcPr>
            <w:tcW w:w="3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Наименование            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51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3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Местонахождение         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515" w:type="dxa"/>
            <w:gridSpan w:val="1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2. Объем подачи воды</w:t>
            </w:r>
          </w:p>
        </w:tc>
      </w:tr>
      <w:tr w:rsidR="00001351" w:rsidRPr="00001351" w:rsidTr="00001351">
        <w:trPr>
          <w:gridAfter w:val="2"/>
          <w:wAfter w:w="634" w:type="dxa"/>
          <w:trHeight w:val="270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01.01.2020 по 31.12.2020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01351">
              <w:rPr>
                <w:sz w:val="20"/>
              </w:rPr>
              <w:t>Подано воды всего, тыс. м</w:t>
            </w:r>
            <w:r w:rsidRPr="00001351">
              <w:rPr>
                <w:sz w:val="20"/>
                <w:vertAlign w:val="superscript"/>
              </w:rPr>
              <w:t>3</w:t>
            </w:r>
            <w:r w:rsidRPr="00001351">
              <w:rPr>
                <w:sz w:val="20"/>
              </w:rPr>
              <w:t xml:space="preserve"> в том числе: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52,09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52,09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52,09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52,09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52,09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>- населению,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48,24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48,24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48,24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48,24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48,24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1,92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1,92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1,92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1,92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1,93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1,93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1,93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1,93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1,93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 xml:space="preserve">- собственное потребление 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98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001351" w:rsidRPr="00001351" w:rsidTr="00001351">
        <w:trPr>
          <w:gridAfter w:val="2"/>
          <w:wAfter w:w="634" w:type="dxa"/>
          <w:trHeight w:val="224"/>
        </w:trPr>
        <w:tc>
          <w:tcPr>
            <w:tcW w:w="33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09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Всего сумма,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256"/>
        </w:trPr>
        <w:tc>
          <w:tcPr>
            <w:tcW w:w="33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77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  Другие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источники </w:t>
            </w:r>
          </w:p>
        </w:tc>
        <w:tc>
          <w:tcPr>
            <w:tcW w:w="162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1584,81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1584,81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623,57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623,57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01.01.2019 по 31.12.2019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31,80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31,80</w:t>
            </w:r>
          </w:p>
        </w:tc>
      </w:tr>
      <w:tr w:rsidR="00001351" w:rsidRPr="00001351" w:rsidTr="00001351">
        <w:trPr>
          <w:gridAfter w:val="1"/>
          <w:wAfter w:w="44" w:type="dxa"/>
          <w:trHeight w:val="145"/>
        </w:trPr>
        <w:tc>
          <w:tcPr>
            <w:tcW w:w="51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2240,18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2240,18</w:t>
            </w:r>
          </w:p>
        </w:tc>
        <w:tc>
          <w:tcPr>
            <w:tcW w:w="590" w:type="dxa"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1653,63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1653,63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635,85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635,85</w:t>
            </w:r>
          </w:p>
        </w:tc>
      </w:tr>
      <w:tr w:rsidR="00001351" w:rsidRPr="00001351" w:rsidTr="00001351">
        <w:trPr>
          <w:gridAfter w:val="2"/>
          <w:wAfter w:w="634" w:type="dxa"/>
          <w:trHeight w:val="60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01.01.2020 по 31.12.2020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33,24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33,24</w:t>
            </w:r>
          </w:p>
        </w:tc>
      </w:tr>
      <w:tr w:rsidR="00001351" w:rsidRPr="00001351" w:rsidTr="00001351">
        <w:trPr>
          <w:gridAfter w:val="1"/>
          <w:wAfter w:w="44" w:type="dxa"/>
          <w:trHeight w:val="145"/>
        </w:trPr>
        <w:tc>
          <w:tcPr>
            <w:tcW w:w="5165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2322,72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2322,72</w:t>
            </w:r>
          </w:p>
        </w:tc>
        <w:tc>
          <w:tcPr>
            <w:tcW w:w="590" w:type="dxa"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79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1684,53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1684,53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652,78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652,78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01.01.2021 по 31.12.2021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35,52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35,52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2372,83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2372,83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1727,18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1727,18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672,11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672,11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01.01.2022 по 31.12.2022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38,30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38,30</w:t>
            </w:r>
          </w:p>
        </w:tc>
      </w:tr>
      <w:tr w:rsidR="00001351" w:rsidRPr="00001351" w:rsidTr="00001351">
        <w:trPr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2437,59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2437,59</w:t>
            </w:r>
          </w:p>
        </w:tc>
        <w:tc>
          <w:tcPr>
            <w:tcW w:w="634" w:type="dxa"/>
            <w:gridSpan w:val="2"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1770,87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1770,87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692,00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692,00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351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41,38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41,38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2504,25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2504,25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11877,57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11877,57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 xml:space="preserve">4. Мероприятия, направленные на поддержание объектов централизованных систем холодного </w:t>
            </w:r>
            <w:r w:rsidRPr="00001351">
              <w:rPr>
                <w:b/>
                <w:sz w:val="20"/>
              </w:rPr>
              <w:lastRenderedPageBreak/>
              <w:t>водоснабжения в состоянии, соответствующем установленным требованиям технических регламентов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01351">
              <w:rPr>
                <w:sz w:val="20"/>
              </w:rPr>
              <w:lastRenderedPageBreak/>
              <w:t xml:space="preserve">  </w:t>
            </w:r>
            <w:r w:rsidRPr="00001351">
              <w:rPr>
                <w:i/>
                <w:sz w:val="20"/>
              </w:rPr>
              <w:t>4.1. Перечень мероприятий по ремо</w:t>
            </w:r>
            <w:r>
              <w:rPr>
                <w:i/>
                <w:sz w:val="20"/>
              </w:rPr>
              <w:t xml:space="preserve">нту объектов централизованных  </w:t>
            </w:r>
            <w:r w:rsidRPr="00001351">
              <w:rPr>
                <w:i/>
                <w:sz w:val="20"/>
              </w:rPr>
              <w:t xml:space="preserve">систем водоснабжения </w:t>
            </w:r>
          </w:p>
        </w:tc>
      </w:tr>
      <w:tr w:rsidR="00001351" w:rsidRPr="00001351" w:rsidTr="00001351">
        <w:trPr>
          <w:gridAfter w:val="2"/>
          <w:wAfter w:w="634" w:type="dxa"/>
          <w:trHeight w:val="224"/>
        </w:trPr>
        <w:tc>
          <w:tcPr>
            <w:tcW w:w="33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09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Всего сумма,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256"/>
        </w:trPr>
        <w:tc>
          <w:tcPr>
            <w:tcW w:w="33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77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  Другие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источники </w:t>
            </w:r>
          </w:p>
        </w:tc>
        <w:tc>
          <w:tcPr>
            <w:tcW w:w="162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44" w:type="dxa"/>
          <w:trHeight w:val="145"/>
        </w:trPr>
        <w:tc>
          <w:tcPr>
            <w:tcW w:w="51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590" w:type="dxa"/>
            <w:vAlign w:val="center"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2"/>
          <w:wAfter w:w="634" w:type="dxa"/>
          <w:trHeight w:val="317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79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01351">
              <w:rPr>
                <w:i/>
                <w:sz w:val="20"/>
              </w:rPr>
              <w:t xml:space="preserve">   4.2. Перечень мероприятий, напра</w:t>
            </w:r>
            <w:r>
              <w:rPr>
                <w:i/>
                <w:sz w:val="20"/>
              </w:rPr>
              <w:t xml:space="preserve">вленных на улучшение качества  </w:t>
            </w:r>
            <w:r w:rsidRPr="00001351">
              <w:rPr>
                <w:i/>
                <w:sz w:val="20"/>
              </w:rPr>
              <w:t xml:space="preserve">питьевой воды </w:t>
            </w:r>
          </w:p>
        </w:tc>
      </w:tr>
      <w:tr w:rsidR="00001351" w:rsidRPr="00001351" w:rsidTr="00001351">
        <w:trPr>
          <w:gridAfter w:val="2"/>
          <w:wAfter w:w="634" w:type="dxa"/>
          <w:trHeight w:val="224"/>
        </w:trPr>
        <w:tc>
          <w:tcPr>
            <w:tcW w:w="33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09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Всего сумма,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256"/>
        </w:trPr>
        <w:tc>
          <w:tcPr>
            <w:tcW w:w="33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77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  Другие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источники </w:t>
            </w:r>
          </w:p>
        </w:tc>
        <w:tc>
          <w:tcPr>
            <w:tcW w:w="162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79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</w:rPr>
            </w:pPr>
            <w:r w:rsidRPr="00001351">
              <w:rPr>
                <w:sz w:val="20"/>
              </w:rPr>
              <w:t xml:space="preserve">    </w:t>
            </w:r>
            <w:r w:rsidRPr="00001351">
              <w:rPr>
                <w:i/>
                <w:sz w:val="20"/>
              </w:rPr>
              <w:t xml:space="preserve">4.3. Перечень мероприятий по энергосбережению и повышению энергетической 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001351">
              <w:rPr>
                <w:sz w:val="20"/>
              </w:rPr>
              <w:t xml:space="preserve">   </w:t>
            </w:r>
          </w:p>
        </w:tc>
      </w:tr>
      <w:tr w:rsidR="00001351" w:rsidRPr="00001351" w:rsidTr="00001351">
        <w:trPr>
          <w:gridAfter w:val="2"/>
          <w:wAfter w:w="634" w:type="dxa"/>
          <w:trHeight w:val="224"/>
        </w:trPr>
        <w:tc>
          <w:tcPr>
            <w:tcW w:w="33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09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Всего сумма,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274"/>
        </w:trPr>
        <w:tc>
          <w:tcPr>
            <w:tcW w:w="33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77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  Другие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источники </w:t>
            </w:r>
          </w:p>
        </w:tc>
        <w:tc>
          <w:tcPr>
            <w:tcW w:w="162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79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 xml:space="preserve">Итого на период с 01.01.2022 по 31.12.2022: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i/>
                <w:sz w:val="20"/>
                <w:lang w:eastAsia="en-US"/>
              </w:rPr>
            </w:pPr>
            <w:r w:rsidRPr="00001351">
              <w:rPr>
                <w:i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001351" w:rsidRPr="00001351" w:rsidTr="00001351">
        <w:trPr>
          <w:gridAfter w:val="2"/>
          <w:wAfter w:w="634" w:type="dxa"/>
          <w:trHeight w:val="224"/>
        </w:trPr>
        <w:tc>
          <w:tcPr>
            <w:tcW w:w="339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7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09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Источники финансирования, тыс. руб.        </w:t>
            </w:r>
          </w:p>
        </w:tc>
        <w:tc>
          <w:tcPr>
            <w:tcW w:w="1624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Всего сумма,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256"/>
        </w:trPr>
        <w:tc>
          <w:tcPr>
            <w:tcW w:w="3394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77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  Другие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источники </w:t>
            </w:r>
          </w:p>
        </w:tc>
        <w:tc>
          <w:tcPr>
            <w:tcW w:w="1624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5165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179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01.01.2021 по 31.12.2021: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01.01.2022 по 31.12.2022: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72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Итого на период с 01.01.2023 по 31.12.2023:                              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2"/>
        </w:trPr>
        <w:tc>
          <w:tcPr>
            <w:tcW w:w="51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72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4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  </w:t>
            </w:r>
            <w:r w:rsidRPr="00001351">
              <w:rPr>
                <w:b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001351" w:rsidRPr="00001351" w:rsidTr="00001351">
        <w:trPr>
          <w:gridAfter w:val="2"/>
          <w:wAfter w:w="634" w:type="dxa"/>
          <w:trHeight w:val="216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показателя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Ед.изм.</w:t>
            </w:r>
          </w:p>
        </w:tc>
        <w:tc>
          <w:tcPr>
            <w:tcW w:w="118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01351">
              <w:rPr>
                <w:sz w:val="18"/>
                <w:szCs w:val="18"/>
              </w:rPr>
              <w:t xml:space="preserve">На период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с 01.01.2019 по 31.12.2019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 xml:space="preserve">На период </w:t>
            </w:r>
            <w:r w:rsidRPr="00001351">
              <w:rPr>
                <w:sz w:val="18"/>
                <w:szCs w:val="18"/>
              </w:rPr>
              <w:br/>
              <w:t>с 01.01.2020 по 31.12.2020</w:t>
            </w:r>
          </w:p>
        </w:tc>
        <w:tc>
          <w:tcPr>
            <w:tcW w:w="103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01351">
              <w:rPr>
                <w:sz w:val="18"/>
                <w:szCs w:val="18"/>
              </w:rPr>
              <w:t xml:space="preserve">На период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с 01.01.2021 по 31.12.2021</w:t>
            </w:r>
          </w:p>
        </w:tc>
        <w:tc>
          <w:tcPr>
            <w:tcW w:w="103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Показатели качества воды</w:t>
            </w:r>
          </w:p>
        </w:tc>
      </w:tr>
      <w:tr w:rsidR="00001351" w:rsidRPr="00001351" w:rsidTr="00001351">
        <w:trPr>
          <w:gridAfter w:val="2"/>
          <w:wAfter w:w="634" w:type="dxa"/>
          <w:trHeight w:val="2122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18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1044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18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277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001351" w:rsidRPr="00001351" w:rsidTr="00001351">
        <w:trPr>
          <w:gridAfter w:val="2"/>
          <w:wAfter w:w="634" w:type="dxa"/>
          <w:trHeight w:val="849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</w:t>
            </w:r>
            <w:r w:rsidRPr="00001351">
              <w:rPr>
                <w:sz w:val="20"/>
              </w:rPr>
              <w:lastRenderedPageBreak/>
              <w:t xml:space="preserve">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ед./км</w:t>
            </w:r>
          </w:p>
        </w:tc>
        <w:tc>
          <w:tcPr>
            <w:tcW w:w="118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</w:t>
            </w:r>
          </w:p>
        </w:tc>
        <w:tc>
          <w:tcPr>
            <w:tcW w:w="103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</w:t>
            </w:r>
          </w:p>
        </w:tc>
        <w:tc>
          <w:tcPr>
            <w:tcW w:w="103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Показатели энергетической эффективности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180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2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2"/>
          <w:wAfter w:w="634" w:type="dxa"/>
          <w:trHeight w:val="709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кВт*ч/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куб. м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1,05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1,05</w:t>
            </w:r>
          </w:p>
        </w:tc>
        <w:tc>
          <w:tcPr>
            <w:tcW w:w="1032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1,05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1,05</w:t>
            </w:r>
          </w:p>
        </w:tc>
        <w:tc>
          <w:tcPr>
            <w:tcW w:w="1035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1,05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3394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кВт*ч/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куб. м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1180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032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032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035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9886" w:type="dxa"/>
            <w:gridSpan w:val="1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001351" w:rsidRPr="00001351" w:rsidTr="00001351">
        <w:trPr>
          <w:gridAfter w:val="2"/>
          <w:wAfter w:w="634" w:type="dxa"/>
          <w:trHeight w:val="216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За период с 01.01.2019 по 31.12.2019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За период с 01.01.2020 по 31.12.2020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За период с 01.01.2021 по 31.12.2021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За период с 01.01.2022 по 31.12.2022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За период с 01.01.2023 по 31.12.2023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213"/>
        </w:trPr>
        <w:tc>
          <w:tcPr>
            <w:tcW w:w="4722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5164" w:type="dxa"/>
            <w:gridSpan w:val="1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0"/>
              </w:rPr>
            </w:pPr>
            <w:r w:rsidRPr="00001351">
              <w:rPr>
                <w:sz w:val="20"/>
              </w:rPr>
              <w:t xml:space="preserve">        </w:t>
            </w:r>
            <w:r w:rsidRPr="00001351">
              <w:rPr>
                <w:b/>
                <w:sz w:val="20"/>
              </w:rPr>
              <w:t xml:space="preserve">7. Общий объем финансовых потребностей, направленных на реализацию      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 xml:space="preserve">                         производственной программы</w:t>
            </w:r>
            <w:r w:rsidRPr="00001351">
              <w:rPr>
                <w:sz w:val="20"/>
              </w:rPr>
              <w:t xml:space="preserve">                         </w:t>
            </w:r>
          </w:p>
        </w:tc>
      </w:tr>
      <w:tr w:rsidR="00001351" w:rsidRPr="00001351" w:rsidTr="00001351">
        <w:trPr>
          <w:gridAfter w:val="2"/>
          <w:wAfter w:w="634" w:type="dxa"/>
          <w:trHeight w:val="480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01351">
              <w:rPr>
                <w:sz w:val="20"/>
              </w:rPr>
              <w:t xml:space="preserve">Всего сумма, </w:t>
            </w:r>
          </w:p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тыс. руб.  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На период с 01.01.2019 по 31.12.2019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2201,34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На период с 01.01.2020 по 31.12.2020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2243,64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На период с 01.01.2021 по 31.12.2021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2310,83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На период с 01.01.2022 по 31.12.2022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2402,59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На период с 01.01.2023 по 31.12.2023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2496,25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826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на период реализации программы:</w:t>
            </w:r>
          </w:p>
        </w:tc>
        <w:tc>
          <w:tcPr>
            <w:tcW w:w="162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11654,65</w:t>
            </w:r>
          </w:p>
        </w:tc>
      </w:tr>
      <w:tr w:rsidR="00001351" w:rsidRPr="00001351" w:rsidTr="00001351">
        <w:trPr>
          <w:gridAfter w:val="2"/>
          <w:wAfter w:w="634" w:type="dxa"/>
          <w:trHeight w:val="362"/>
        </w:trPr>
        <w:tc>
          <w:tcPr>
            <w:tcW w:w="9886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     </w:t>
            </w:r>
            <w:r w:rsidRPr="0000135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001351">
              <w:rPr>
                <w:sz w:val="20"/>
              </w:rPr>
              <w:t xml:space="preserve">                         </w:t>
            </w:r>
          </w:p>
        </w:tc>
      </w:tr>
      <w:tr w:rsidR="00001351" w:rsidRPr="00001351" w:rsidTr="00001351">
        <w:trPr>
          <w:gridAfter w:val="2"/>
          <w:wAfter w:w="634" w:type="dxa"/>
          <w:trHeight w:val="374"/>
        </w:trPr>
        <w:tc>
          <w:tcPr>
            <w:tcW w:w="737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25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  2018 год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737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Объем подачи воды, тыс. куб. м</w:t>
            </w:r>
          </w:p>
        </w:tc>
        <w:tc>
          <w:tcPr>
            <w:tcW w:w="25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63,77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737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5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2524,84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737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Мероприятия, направленные на поддержание объектов водоснабжения в состоянии, соответствующем установленным требованиям, тыс. руб.</w:t>
            </w:r>
          </w:p>
        </w:tc>
        <w:tc>
          <w:tcPr>
            <w:tcW w:w="25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425,61</w:t>
            </w:r>
          </w:p>
        </w:tc>
      </w:tr>
      <w:tr w:rsidR="00001351" w:rsidRPr="00001351" w:rsidTr="00001351">
        <w:trPr>
          <w:gridAfter w:val="2"/>
          <w:wAfter w:w="634" w:type="dxa"/>
          <w:trHeight w:val="145"/>
        </w:trPr>
        <w:tc>
          <w:tcPr>
            <w:tcW w:w="737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Общий объем финансовых потребностей за 2018 год, тыс. руб.</w:t>
            </w:r>
          </w:p>
        </w:tc>
        <w:tc>
          <w:tcPr>
            <w:tcW w:w="250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2950,45</w:t>
            </w:r>
          </w:p>
        </w:tc>
      </w:tr>
    </w:tbl>
    <w:p w:rsidR="0056238E" w:rsidRPr="00C21DF5" w:rsidRDefault="0056238E" w:rsidP="0056238E">
      <w:pPr>
        <w:jc w:val="right"/>
        <w:rPr>
          <w:szCs w:val="28"/>
          <w:lang w:eastAsia="en-US"/>
        </w:rPr>
      </w:pPr>
      <w:r w:rsidRPr="00C21DF5">
        <w:rPr>
          <w:szCs w:val="28"/>
          <w:lang w:eastAsia="en-US"/>
        </w:rPr>
        <w:t>».</w:t>
      </w:r>
    </w:p>
    <w:p w:rsidR="0056238E" w:rsidRPr="0056238E" w:rsidRDefault="0056238E" w:rsidP="0056238E">
      <w:pPr>
        <w:rPr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B216B8" w:rsidTr="006F360C">
        <w:trPr>
          <w:gridAfter w:val="1"/>
          <w:wAfter w:w="11" w:type="dxa"/>
        </w:trPr>
        <w:tc>
          <w:tcPr>
            <w:tcW w:w="528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B216B8" w:rsidRDefault="00B216B8" w:rsidP="006F360C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001351" w:rsidRDefault="00001351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lastRenderedPageBreak/>
              <w:t>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Default="00C21DF5" w:rsidP="00C21DF5">
            <w:pPr>
              <w:ind w:left="3552"/>
              <w:jc w:val="center"/>
            </w:pPr>
            <w:r w:rsidRPr="00C21DF5">
              <w:t>от 14 ноября 2019 г. №</w:t>
            </w:r>
            <w:r w:rsidRPr="00D74902">
              <w:t xml:space="preserve"> </w:t>
            </w:r>
            <w:r w:rsidR="00E85618">
              <w:t>50/</w:t>
            </w:r>
            <w:r w:rsidR="00F27D01">
              <w:t>39</w:t>
            </w:r>
            <w:bookmarkStart w:id="0" w:name="_GoBack"/>
            <w:bookmarkEnd w:id="0"/>
          </w:p>
          <w:p w:rsidR="00B216B8" w:rsidRDefault="00B216B8" w:rsidP="006F360C">
            <w:pPr>
              <w:ind w:left="3552"/>
              <w:jc w:val="center"/>
            </w:pPr>
          </w:p>
          <w:p w:rsidR="00B216B8" w:rsidRDefault="00B216B8" w:rsidP="006F360C">
            <w:pPr>
              <w:ind w:left="3552"/>
              <w:jc w:val="center"/>
            </w:pPr>
            <w:r>
              <w:t>«ПРИЛОЖЕНИЕ 2</w:t>
            </w:r>
          </w:p>
          <w:p w:rsidR="00B216B8" w:rsidRDefault="00B216B8" w:rsidP="006F360C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B216B8" w:rsidRPr="001D06AF" w:rsidRDefault="00B216B8" w:rsidP="006F360C">
            <w:pPr>
              <w:ind w:left="3552"/>
              <w:jc w:val="center"/>
            </w:pPr>
            <w:r>
              <w:t>от 6</w:t>
            </w:r>
            <w:r w:rsidRPr="0056238E">
              <w:t xml:space="preserve"> декабря 2018 г. №</w:t>
            </w:r>
            <w:r>
              <w:t xml:space="preserve"> 50/59</w:t>
            </w:r>
          </w:p>
        </w:tc>
      </w:tr>
      <w:tr w:rsidR="00B216B8" w:rsidRPr="006161EA" w:rsidTr="006F360C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B216B8" w:rsidRDefault="00B216B8" w:rsidP="006F360C">
            <w:pPr>
              <w:ind w:left="3552"/>
              <w:jc w:val="center"/>
              <w:rPr>
                <w:sz w:val="24"/>
                <w:szCs w:val="24"/>
              </w:rPr>
            </w:pPr>
          </w:p>
          <w:p w:rsidR="00B216B8" w:rsidRPr="007D25C7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7D25C7">
              <w:rPr>
                <w:b/>
                <w:sz w:val="24"/>
                <w:szCs w:val="24"/>
              </w:rPr>
              <w:t>РОИЗВОДСТВЕННАЯ ПРОГРАММА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25C7">
              <w:rPr>
                <w:b/>
                <w:sz w:val="24"/>
                <w:szCs w:val="24"/>
              </w:rPr>
              <w:t xml:space="preserve">ПО ОКАЗАНИЮ УСЛУГ </w:t>
            </w:r>
            <w:r>
              <w:rPr>
                <w:b/>
                <w:sz w:val="24"/>
                <w:szCs w:val="24"/>
              </w:rPr>
              <w:t>ВОДООТВЕДЕНИЯ</w:t>
            </w:r>
          </w:p>
          <w:p w:rsidR="00B216B8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B216B8" w:rsidRPr="00B6104E" w:rsidRDefault="00B216B8" w:rsidP="006F360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216B8" w:rsidRDefault="00B216B8" w:rsidP="00B216B8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01.01.2019 г. по 31.12.2023 г.</w:t>
      </w:r>
    </w:p>
    <w:tbl>
      <w:tblPr>
        <w:tblW w:w="1175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17"/>
        <w:gridCol w:w="29"/>
        <w:gridCol w:w="267"/>
        <w:gridCol w:w="891"/>
        <w:gridCol w:w="444"/>
        <w:gridCol w:w="149"/>
        <w:gridCol w:w="87"/>
        <w:gridCol w:w="951"/>
        <w:gridCol w:w="148"/>
        <w:gridCol w:w="862"/>
        <w:gridCol w:w="28"/>
        <w:gridCol w:w="444"/>
        <w:gridCol w:w="594"/>
        <w:gridCol w:w="445"/>
        <w:gridCol w:w="296"/>
        <w:gridCol w:w="158"/>
        <w:gridCol w:w="140"/>
        <w:gridCol w:w="1038"/>
        <w:gridCol w:w="1966"/>
      </w:tblGrid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001351" w:rsidRPr="00001351" w:rsidTr="00001351">
        <w:trPr>
          <w:gridAfter w:val="1"/>
          <w:wAfter w:w="1966" w:type="dxa"/>
          <w:trHeight w:val="58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6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001351">
              <w:rPr>
                <w:bCs/>
                <w:sz w:val="20"/>
              </w:rPr>
              <w:t>ОБЩЕСТВО С ОГРАНИЧЕННОЙ ОТВЕТСТВЕННОСТЬЮ «АКВАКОМ» (ИНН 5228056218)</w:t>
            </w:r>
          </w:p>
        </w:tc>
      </w:tr>
      <w:tr w:rsidR="00001351" w:rsidRPr="00001351" w:rsidTr="00001351">
        <w:trPr>
          <w:gridAfter w:val="1"/>
          <w:wAfter w:w="1966" w:type="dxa"/>
          <w:trHeight w:val="527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6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C21DF5">
              <w:rPr>
                <w:sz w:val="20"/>
              </w:rPr>
              <w:t xml:space="preserve">606611, Нижегородская область, городской округ Семеновский, </w:t>
            </w:r>
            <w:r>
              <w:rPr>
                <w:sz w:val="20"/>
              </w:rPr>
              <w:br/>
            </w:r>
            <w:r w:rsidRPr="00C21DF5">
              <w:rPr>
                <w:sz w:val="20"/>
              </w:rPr>
              <w:t>д. Беласовка, ул. Специалистов, д. 25, офис 1</w:t>
            </w:r>
          </w:p>
        </w:tc>
      </w:tr>
      <w:tr w:rsidR="00001351" w:rsidRPr="00001351" w:rsidTr="00001351">
        <w:trPr>
          <w:gridAfter w:val="1"/>
          <w:wAfter w:w="1966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6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001351" w:rsidRPr="00001351" w:rsidTr="00001351">
        <w:trPr>
          <w:gridAfter w:val="1"/>
          <w:wAfter w:w="1966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67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001351">
              <w:rPr>
                <w:sz w:val="20"/>
              </w:rPr>
              <w:t>Нижний Новгород, Кремль, корпус 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2. Объем транспортируемых сточных вод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услуги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Принято сточных вод всего, тыс. м</w:t>
            </w:r>
            <w:r w:rsidRPr="00001351">
              <w:rPr>
                <w:sz w:val="20"/>
                <w:vertAlign w:val="superscript"/>
              </w:rPr>
              <w:t>3</w:t>
            </w:r>
            <w:r w:rsidRPr="00001351">
              <w:rPr>
                <w:sz w:val="20"/>
              </w:rPr>
              <w:t>, в том числе: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14,59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14,59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14,59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14,59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14,59</w:t>
            </w:r>
          </w:p>
        </w:tc>
      </w:tr>
      <w:tr w:rsidR="00001351" w:rsidRPr="00001351" w:rsidTr="00001351">
        <w:trPr>
          <w:gridAfter w:val="1"/>
          <w:wAfter w:w="1965" w:type="dxa"/>
          <w:trHeight w:val="131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i/>
                <w:iCs/>
                <w:sz w:val="20"/>
                <w:lang w:eastAsia="en-US"/>
              </w:rPr>
            </w:pPr>
            <w:r w:rsidRPr="00001351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12,80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12,80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12,80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12,80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12,80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i/>
                <w:iCs/>
                <w:sz w:val="20"/>
                <w:lang w:eastAsia="en-US"/>
              </w:rPr>
            </w:pPr>
            <w:r w:rsidRPr="00001351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1,63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1,63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1,63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1,63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1351" w:rsidRPr="00001351" w:rsidRDefault="00001351" w:rsidP="00001351">
            <w:pPr>
              <w:jc w:val="center"/>
              <w:rPr>
                <w:color w:val="000000"/>
                <w:sz w:val="20"/>
                <w:lang w:eastAsia="en-US"/>
              </w:rPr>
            </w:pPr>
            <w:r w:rsidRPr="00001351">
              <w:rPr>
                <w:color w:val="000000"/>
                <w:sz w:val="20"/>
              </w:rPr>
              <w:t>1,63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i/>
                <w:iCs/>
                <w:sz w:val="20"/>
                <w:lang w:eastAsia="en-US"/>
              </w:rPr>
            </w:pPr>
            <w:r w:rsidRPr="00001351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0,16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0,16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0,16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0,16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i/>
                <w:iCs/>
                <w:sz w:val="20"/>
                <w:lang w:eastAsia="en-US"/>
              </w:rPr>
            </w:pPr>
            <w:r w:rsidRPr="00001351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vertAlign w:val="superscript"/>
                <w:lang w:eastAsia="en-US"/>
              </w:rPr>
            </w:pPr>
            <w:r w:rsidRPr="00001351">
              <w:rPr>
                <w:sz w:val="20"/>
              </w:rPr>
              <w:t>Передано сточных вод на сторону, тыс. м</w:t>
            </w:r>
            <w:r w:rsidRPr="00001351">
              <w:rPr>
                <w:sz w:val="20"/>
                <w:vertAlign w:val="superscript"/>
              </w:rPr>
              <w:t>3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мероприятий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 xml:space="preserve">Всего сумма, 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1"/>
          <w:wAfter w:w="1965" w:type="dxa"/>
          <w:trHeight w:val="568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Производственные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232,56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232,56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Административные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370,51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370,51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738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6,09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6,09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за период с 01.01.2019 по 31.12.2019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609,16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609,16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237,14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237,14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Административные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377,81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377,81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6,16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6,16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за период с 01.01.2020 по 31.12.2020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621,11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621,11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243,45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243,45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Административные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387,87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387,87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Расходы, связанные с оплатой </w:t>
            </w:r>
            <w:r w:rsidRPr="00001351">
              <w:rPr>
                <w:sz w:val="20"/>
              </w:rPr>
              <w:lastRenderedPageBreak/>
              <w:t>налогов и сборов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 xml:space="preserve">с 01.01.2021 по </w:t>
            </w:r>
            <w:r w:rsidRPr="00001351">
              <w:rPr>
                <w:sz w:val="20"/>
              </w:rPr>
              <w:lastRenderedPageBreak/>
              <w:t>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6,34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6,34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Итого за период с 01.01.2021 по 31.12.2021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637,66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637,66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250,66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250,66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Административные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399,35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399,35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6,57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6,57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за период с 01.01.2022 по 31.12.2022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656,58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656,58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Производственные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258,08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258,08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Административные расходы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411,17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411,17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637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6,77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6,77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за период с 01.01.2023 по 31.12.2023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676,02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676,02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3200,53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spacing w:after="20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3200,53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мероприятий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Всего сумма,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мероприятий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Всего сумма,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мероприятий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Всего сумма,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 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gridAfter w:val="1"/>
          <w:wAfter w:w="1965" w:type="dxa"/>
          <w:trHeight w:val="403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6" w:type="dxa"/>
          <w:trHeight w:val="14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мероприятий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График реализации мероприятий</w:t>
            </w:r>
          </w:p>
        </w:tc>
        <w:tc>
          <w:tcPr>
            <w:tcW w:w="3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 xml:space="preserve">Всего сумма, 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2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8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Себестоимость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Другие источники</w:t>
            </w:r>
          </w:p>
        </w:tc>
        <w:tc>
          <w:tcPr>
            <w:tcW w:w="1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</w:tr>
      <w:tr w:rsidR="00001351" w:rsidRPr="00001351" w:rsidTr="00001351">
        <w:trPr>
          <w:trHeight w:val="137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</w:tr>
      <w:tr w:rsidR="00001351" w:rsidRPr="00001351" w:rsidTr="00001351">
        <w:trPr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</w:tr>
      <w:tr w:rsidR="00001351" w:rsidRPr="00001351" w:rsidTr="00001351">
        <w:trPr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trHeight w:val="144"/>
        </w:trPr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trHeight w:val="14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 отсутствуют</w:t>
            </w:r>
          </w:p>
        </w:tc>
        <w:tc>
          <w:tcPr>
            <w:tcW w:w="1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trHeight w:val="144"/>
        </w:trPr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965" w:type="dxa"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</w:p>
        </w:tc>
      </w:tr>
      <w:tr w:rsidR="00001351" w:rsidRPr="00001351" w:rsidTr="00001351">
        <w:trPr>
          <w:gridAfter w:val="1"/>
          <w:wAfter w:w="1965" w:type="dxa"/>
          <w:trHeight w:val="445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001351" w:rsidRPr="00001351" w:rsidTr="00001351">
        <w:trPr>
          <w:gridAfter w:val="1"/>
          <w:wAfter w:w="1964" w:type="dxa"/>
          <w:trHeight w:val="144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Наименование показателя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Ед. изм.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01.01.2019 по 31.12.2019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01.01.2020</w:t>
            </w:r>
            <w:r>
              <w:rPr>
                <w:sz w:val="18"/>
                <w:szCs w:val="18"/>
              </w:rPr>
              <w:t xml:space="preserve"> </w:t>
            </w:r>
            <w:r w:rsidRPr="00001351">
              <w:rPr>
                <w:sz w:val="18"/>
                <w:szCs w:val="18"/>
              </w:rPr>
              <w:t>по 31.12.2020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01.01.2021 по 31.12.2021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01.01.2022 по 31.12.2022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001351">
              <w:rPr>
                <w:sz w:val="18"/>
                <w:szCs w:val="18"/>
              </w:rPr>
              <w:t>на период с 01.01.2023 по 31.12.2023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Показатели очистки сточных вод</w:t>
            </w:r>
          </w:p>
        </w:tc>
      </w:tr>
      <w:tr w:rsidR="00001351" w:rsidRPr="00001351" w:rsidTr="00001351">
        <w:trPr>
          <w:gridAfter w:val="1"/>
          <w:wAfter w:w="1964" w:type="dxa"/>
          <w:trHeight w:val="144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100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100</w:t>
            </w:r>
          </w:p>
        </w:tc>
      </w:tr>
      <w:tr w:rsidR="00001351" w:rsidRPr="00001351" w:rsidTr="00001351">
        <w:trPr>
          <w:gridAfter w:val="1"/>
          <w:wAfter w:w="1964" w:type="dxa"/>
          <w:trHeight w:val="144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4" w:type="dxa"/>
          <w:trHeight w:val="144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 xml:space="preserve">Доля проб сточных вод, не соответствующих установленным нормативам допустимых </w:t>
            </w:r>
            <w:r w:rsidRPr="00001351">
              <w:rPr>
                <w:sz w:val="20"/>
              </w:rPr>
              <w:lastRenderedPageBreak/>
              <w:t>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%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4" w:type="dxa"/>
          <w:trHeight w:val="144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%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144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001351" w:rsidRPr="00001351" w:rsidTr="00001351">
        <w:trPr>
          <w:gridAfter w:val="1"/>
          <w:wAfter w:w="1964" w:type="dxa"/>
          <w:trHeight w:val="702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ед./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км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0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Показатели энергетической эффективности</w:t>
            </w:r>
          </w:p>
        </w:tc>
      </w:tr>
      <w:tr w:rsidR="00001351" w:rsidRPr="00001351" w:rsidTr="00001351">
        <w:trPr>
          <w:gridAfter w:val="1"/>
          <w:wAfter w:w="1964" w:type="dxa"/>
          <w:trHeight w:val="1385"/>
        </w:trPr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</w:rPr>
            </w:pPr>
            <w:r w:rsidRPr="00001351">
              <w:rPr>
                <w:sz w:val="20"/>
              </w:rPr>
              <w:t>кВт.ч/</w:t>
            </w:r>
          </w:p>
          <w:p w:rsidR="00001351" w:rsidRPr="00001351" w:rsidRDefault="00001351" w:rsidP="0000135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куб. м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249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383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Итого эффективность производственной программы за весь период реализации: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-</w:t>
            </w:r>
          </w:p>
        </w:tc>
      </w:tr>
      <w:tr w:rsidR="00001351" w:rsidRPr="00001351" w:rsidTr="00001351">
        <w:trPr>
          <w:gridAfter w:val="1"/>
          <w:wAfter w:w="1965" w:type="dxa"/>
          <w:trHeight w:val="465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001351" w:rsidRPr="00001351" w:rsidTr="00001351">
        <w:trPr>
          <w:gridAfter w:val="1"/>
          <w:wAfter w:w="1965" w:type="dxa"/>
          <w:trHeight w:val="540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Всего сумма, тыс. руб.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01.01.2019 по 31.12.2019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605,10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01.01.2020 по 31.12.2020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615,89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01.01.2021 по 31.12.2021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633,66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01.01.2022 по 31.12.2022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656,58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на период с 01.01.2023 по 31.12.2023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677,02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bCs/>
                <w:sz w:val="20"/>
              </w:rPr>
              <w:t>Итого</w:t>
            </w:r>
            <w:r w:rsidRPr="00001351">
              <w:rPr>
                <w:sz w:val="20"/>
              </w:rPr>
              <w:t xml:space="preserve"> объем финансовых потребностей за весь период реализации программы</w:t>
            </w:r>
            <w:r w:rsidRPr="00001351">
              <w:rPr>
                <w:bCs/>
                <w:sz w:val="20"/>
              </w:rPr>
              <w:t>: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3188,25</w:t>
            </w:r>
          </w:p>
        </w:tc>
      </w:tr>
      <w:tr w:rsidR="00001351" w:rsidRPr="00001351" w:rsidTr="00001351">
        <w:trPr>
          <w:gridAfter w:val="1"/>
          <w:wAfter w:w="1965" w:type="dxa"/>
          <w:trHeight w:val="249"/>
        </w:trPr>
        <w:tc>
          <w:tcPr>
            <w:tcW w:w="97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lang w:eastAsia="en-US"/>
              </w:rPr>
            </w:pPr>
            <w:r w:rsidRPr="0000135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2018 год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15,99</w:t>
            </w:r>
          </w:p>
        </w:tc>
      </w:tr>
      <w:tr w:rsidR="00001351" w:rsidRPr="00001351" w:rsidTr="00001351">
        <w:trPr>
          <w:gridAfter w:val="1"/>
          <w:wAfter w:w="1965" w:type="dxa"/>
          <w:trHeight w:val="424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lastRenderedPageBreak/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633,03</w:t>
            </w:r>
          </w:p>
        </w:tc>
      </w:tr>
      <w:tr w:rsidR="00001351" w:rsidRPr="00001351" w:rsidTr="00001351">
        <w:trPr>
          <w:gridAfter w:val="1"/>
          <w:wAfter w:w="1965" w:type="dxa"/>
          <w:trHeight w:val="476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14,70</w:t>
            </w:r>
          </w:p>
        </w:tc>
      </w:tr>
      <w:tr w:rsidR="00001351" w:rsidRPr="00001351" w:rsidTr="00001351">
        <w:trPr>
          <w:gridAfter w:val="1"/>
          <w:wAfter w:w="1965" w:type="dxa"/>
          <w:trHeight w:val="238"/>
        </w:trPr>
        <w:tc>
          <w:tcPr>
            <w:tcW w:w="81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Общий объем финансовых потребностейза 2018 год, тыс. руб.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351" w:rsidRPr="00001351" w:rsidRDefault="00001351" w:rsidP="00001351">
            <w:pPr>
              <w:autoSpaceDE w:val="0"/>
              <w:autoSpaceDN w:val="0"/>
              <w:adjustRightInd w:val="0"/>
              <w:jc w:val="center"/>
              <w:rPr>
                <w:sz w:val="20"/>
                <w:lang w:eastAsia="en-US"/>
              </w:rPr>
            </w:pPr>
            <w:r w:rsidRPr="00001351">
              <w:rPr>
                <w:sz w:val="20"/>
              </w:rPr>
              <w:t>647,73</w:t>
            </w:r>
          </w:p>
        </w:tc>
      </w:tr>
    </w:tbl>
    <w:p w:rsidR="00016631" w:rsidRDefault="00001351" w:rsidP="00001351">
      <w:pPr>
        <w:spacing w:line="276" w:lineRule="auto"/>
        <w:jc w:val="right"/>
        <w:rPr>
          <w:szCs w:val="28"/>
        </w:rPr>
      </w:pPr>
      <w:r>
        <w:rPr>
          <w:szCs w:val="28"/>
        </w:rPr>
        <w:t>».</w:t>
      </w:r>
    </w:p>
    <w:sectPr w:rsidR="00016631" w:rsidSect="00001351">
      <w:type w:val="continuous"/>
      <w:pgSz w:w="11906" w:h="16838" w:code="9"/>
      <w:pgMar w:top="1134" w:right="709" w:bottom="1134" w:left="1418" w:header="425" w:footer="720" w:gutter="0"/>
      <w:paperSrc w:first="3" w:other="3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A3" w:rsidRDefault="000C3EA3">
      <w:r>
        <w:separator/>
      </w:r>
    </w:p>
  </w:endnote>
  <w:endnote w:type="continuationSeparator" w:id="0">
    <w:p w:rsidR="000C3EA3" w:rsidRDefault="000C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A3" w:rsidRDefault="000C3EA3">
      <w:r>
        <w:separator/>
      </w:r>
    </w:p>
  </w:footnote>
  <w:footnote w:type="continuationSeparator" w:id="0">
    <w:p w:rsidR="000C3EA3" w:rsidRDefault="000C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7D01">
      <w:rPr>
        <w:rStyle w:val="a9"/>
        <w:noProof/>
      </w:rPr>
      <w:t>14</w:t>
    </w:r>
    <w:r>
      <w:rPr>
        <w:rStyle w:val="a9"/>
      </w:rPr>
      <w:fldChar w:fldCharType="end"/>
    </w:r>
  </w:p>
  <w:p w:rsidR="000C3EA3" w:rsidRDefault="000C3E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EA3" w:rsidRDefault="000C3EA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4ABC0A8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pJ8EA&#10;AADaAAAADwAAAGRycy9kb3ducmV2LnhtbESPQWvCQBSE7wX/w/IEb7qxgt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6aSf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sucMA&#10;AADaAAAADwAAAGRycy9kb3ducmV2LnhtbESPQWsCMRSE7wX/Q3iCF9GspRR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Osuc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C3EA3" w:rsidRPr="00E52B15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0C3EA3" w:rsidRPr="00561114" w:rsidRDefault="000C3EA3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C3EA3" w:rsidRPr="000F7B5C" w:rsidRDefault="000C3EA3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0C3EA3" w:rsidRDefault="000C3EA3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0C3EA3" w:rsidRPr="002B6128" w:rsidRDefault="000C3EA3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0C3EA3" w:rsidRDefault="000C3EA3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0C3EA3" w:rsidRPr="001772E6" w:rsidRDefault="000C3EA3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0C3EA3" w:rsidRDefault="000C3EA3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0C3EA3" w:rsidRPr="00E52B15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0C3EA3" w:rsidRPr="00561114" w:rsidRDefault="000C3EA3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C3EA3" w:rsidRPr="000F7B5C" w:rsidRDefault="000C3EA3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0C3EA3" w:rsidRDefault="000C3EA3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0C3EA3" w:rsidRPr="002B6128" w:rsidRDefault="000C3EA3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0C3EA3" w:rsidRDefault="000C3EA3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0C3EA3" w:rsidRPr="001772E6" w:rsidRDefault="000C3EA3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0C3EA3" w:rsidRDefault="000C3EA3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1351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16631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29E4"/>
    <w:rsid w:val="0010360C"/>
    <w:rsid w:val="0010362E"/>
    <w:rsid w:val="00104EBD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3CF0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17C1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122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10C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0D37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B51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16B8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1DF5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B89"/>
    <w:rsid w:val="00D26C5B"/>
    <w:rsid w:val="00D27025"/>
    <w:rsid w:val="00D3028B"/>
    <w:rsid w:val="00D3046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87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618"/>
    <w:rsid w:val="00E85825"/>
    <w:rsid w:val="00E85D27"/>
    <w:rsid w:val="00E8628D"/>
    <w:rsid w:val="00E864B9"/>
    <w:rsid w:val="00E87644"/>
    <w:rsid w:val="00E90D08"/>
    <w:rsid w:val="00E91D28"/>
    <w:rsid w:val="00E92B16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62A6"/>
    <w:rsid w:val="00F267D8"/>
    <w:rsid w:val="00F27D01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1E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"/>
    <w:basedOn w:val="a"/>
    <w:link w:val="ad"/>
    <w:uiPriority w:val="99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"/>
    <w:basedOn w:val="a0"/>
    <w:link w:val="ac"/>
    <w:uiPriority w:val="99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15</TotalTime>
  <Pages>14</Pages>
  <Words>3419</Words>
  <Characters>21752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9</cp:revision>
  <cp:lastPrinted>2019-11-14T08:11:00Z</cp:lastPrinted>
  <dcterms:created xsi:type="dcterms:W3CDTF">2019-05-31T13:42:00Z</dcterms:created>
  <dcterms:modified xsi:type="dcterms:W3CDTF">2019-11-14T08:12:00Z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